
<file path=[Content_Types].xml><?xml version="1.0" encoding="utf-8"?>
<Types xmlns="http://schemas.openxmlformats.org/package/2006/content-types">
  <Default Extension="wmf" ContentType="image/x-wmf"/>
  <Default Extension="png" ContentType="image/png"/>
  <Default Extension="jpg" ContentType="image/jpeg"/>
  <Default Extension="jpeg" ContentType="image/jpeg"/>
  <Default Extension="xml" ContentType="application/xml"/>
  <Default Extension="rels" ContentType="application/vnd.openxmlformats-package.relationships+xml"/>
  <Default Extension="bin" ContentType="application/vnd.openxmlformats-officedocument.oleObject"/>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footnotes.xml" ContentType="application/vnd.openxmlformats-officedocument.wordprocessingml.footnote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mc:Ignorable="w14 w15 wp14">
  <w:body>
    <w:p>
      <w:pPr>
        <w:jc w:val="center"/>
        <w:rPr>
          <w:rFonts w:ascii="Times New Roman" w:hAnsi="Times New Roman" w:cs="Times New Roman" w:eastAsia="黑体"/>
          <w:b/>
          <w:sz w:val="44"/>
        </w:rPr>
      </w:pPr>
      <w:r>
        <w:rPr>
          <w:rFonts w:ascii="Times New Roman" w:hAnsi="Times New Roman" w:cs="Times New Roman" w:eastAsia="黑体"/>
          <w:b/>
          <w:sz w:val="44"/>
        </w:rPr>
        <mc:AlternateContent>
          <mc:Choice Requires="wpg">
            <w:drawing>
              <wp:inline xmlns:wp="http://schemas.openxmlformats.org/drawingml/2006/wordprocessingDrawing" distT="0" distB="0" distL="0" distR="0">
                <wp:extent cx="6269339" cy="8773298"/>
                <wp:effectExtent l="0" t="0" r="0" b="0"/>
                <wp:docPr id="1" name="图片 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4" name="2022.jpg" hidden="0"/>
                        <pic:cNvPicPr>
                          <a:picLocks noChangeAspect="1"/>
                        </pic:cNvPicPr>
                      </pic:nvPicPr>
                      <pic:blipFill>
                        <a:blip r:embed="rId10"/>
                        <a:stretch/>
                      </pic:blipFill>
                      <pic:spPr bwMode="auto">
                        <a:xfrm>
                          <a:off x="0" y="0"/>
                          <a:ext cx="6280496" cy="8788911"/>
                        </a:xfrm>
                        <a:prstGeom prst="rect">
                          <a:avLst/>
                        </a:prstGeom>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493.6pt;height:690.8pt;" stroked="false">
                <v:path textboxrect="0,0,0,0"/>
                <v:imagedata r:id="rId10" o:title=""/>
              </v:shape>
            </w:pict>
          </mc:Fallback>
        </mc:AlternateContent>
      </w:r>
      <w:r/>
    </w:p>
    <w:p>
      <w:pPr>
        <w:jc w:val="center"/>
        <w:widowControl/>
        <w:rPr>
          <w:rFonts w:ascii="仿宋_GB2312" w:cs="仿宋_GB2312" w:eastAsia="仿宋_GB2312"/>
          <w:bCs/>
          <w:sz w:val="28"/>
          <w:szCs w:val="28"/>
        </w:rPr>
      </w:pPr>
      <w:r>
        <w:rPr>
          <w:rFonts w:ascii="黑体" w:hAnsi="黑体" w:eastAsia="黑体" w:hint="eastAsia"/>
          <w:sz w:val="32"/>
          <w:szCs w:val="32"/>
        </w:rPr>
        <w:t xml:space="preserve">第一部分  </w:t>
      </w:r>
      <w:r>
        <w:rPr>
          <w:rFonts w:ascii="黑体" w:hAnsi="黑体" w:cs="黑体" w:eastAsia="黑体" w:hint="eastAsia"/>
          <w:bCs/>
          <w:sz w:val="32"/>
          <w:szCs w:val="32"/>
        </w:rPr>
        <w:t xml:space="preserve">年度报告编写提纲</w:t>
      </w:r>
      <w:r>
        <w:rPr>
          <w:rFonts w:ascii="黑体" w:hAnsi="黑体" w:cs="仿宋_GB2312" w:eastAsia="黑体" w:hint="eastAsia"/>
          <w:bCs/>
          <w:sz w:val="32"/>
          <w:szCs w:val="32"/>
        </w:rPr>
        <w:t xml:space="preserve">（限</w:t>
      </w:r>
      <w:r>
        <w:rPr>
          <w:rFonts w:ascii="黑体" w:hAnsi="黑体" w:eastAsia="黑体" w:hint="eastAsia"/>
          <w:bCs/>
          <w:sz w:val="32"/>
          <w:szCs w:val="32"/>
        </w:rPr>
        <w:t xml:space="preserve">3000</w:t>
      </w:r>
      <w:r>
        <w:rPr>
          <w:rFonts w:ascii="黑体" w:hAnsi="黑体" w:cs="仿宋_GB2312" w:eastAsia="黑体" w:hint="eastAsia"/>
          <w:bCs/>
          <w:sz w:val="32"/>
          <w:szCs w:val="32"/>
        </w:rPr>
        <w:t xml:space="preserve">字以内）</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一、人才培养工作和成效</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二、人才队伍建设</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三、教学改革与科学研究</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四、信息化建设、开放运行和示范辐射</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五、示范中心大事记</w:t>
      </w:r>
      <w:r/>
    </w:p>
    <w:p>
      <w:pPr>
        <w:ind w:firstLine="560"/>
        <w:rPr>
          <w:rFonts w:ascii="楷体" w:hAnsi="楷体" w:cs="仿宋_GB2312" w:eastAsia="楷体"/>
          <w:sz w:val="28"/>
          <w:szCs w:val="28"/>
        </w:rPr>
      </w:pPr>
      <w:r>
        <w:rPr>
          <w:rFonts w:ascii="黑体" w:hAnsi="黑体" w:cs="仿宋_GB2312" w:eastAsia="黑体" w:hint="eastAsia"/>
          <w:sz w:val="28"/>
          <w:szCs w:val="28"/>
        </w:rPr>
        <w:t xml:space="preserve">六、示范中心存在的主要问题</w:t>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七、所在学校与学校上级主管部门的支持</w:t>
      </w:r>
      <w:r/>
    </w:p>
    <w:p>
      <w:pPr>
        <w:ind w:firstLine="560"/>
        <w:rPr>
          <w:rFonts w:ascii="楷体" w:hAnsi="楷体" w:cs="仿宋_GB2312" w:eastAsia="楷体"/>
          <w:sz w:val="28"/>
          <w:szCs w:val="28"/>
        </w:rPr>
      </w:pPr>
      <w:r>
        <w:rPr>
          <w:rFonts w:ascii="楷体" w:hAnsi="楷体" w:cs="仿宋_GB2312" w:eastAsia="楷体"/>
          <w:sz w:val="28"/>
          <w:szCs w:val="28"/>
        </w:rPr>
      </w:r>
      <w:r/>
    </w:p>
    <w:p>
      <w:pPr>
        <w:ind w:firstLine="560"/>
        <w:rPr>
          <w:rFonts w:ascii="黑体" w:hAnsi="黑体" w:cs="仿宋_GB2312" w:eastAsia="黑体"/>
          <w:sz w:val="28"/>
          <w:szCs w:val="28"/>
        </w:rPr>
      </w:pPr>
      <w:r>
        <w:rPr>
          <w:rFonts w:ascii="黑体" w:hAnsi="黑体" w:cs="仿宋_GB2312" w:eastAsia="黑体" w:hint="eastAsia"/>
          <w:sz w:val="28"/>
          <w:szCs w:val="28"/>
        </w:rPr>
        <w:t xml:space="preserve">注意事项及说明：</w:t>
      </w:r>
      <w:r/>
    </w:p>
    <w:p>
      <w:pPr>
        <w:ind w:firstLine="560"/>
        <w:rPr>
          <w:rFonts w:ascii="楷体" w:hAnsi="楷体" w:cs="仿宋_GB2312" w:eastAsia="楷体"/>
          <w:sz w:val="28"/>
          <w:szCs w:val="28"/>
        </w:rPr>
      </w:pPr>
      <w:r>
        <w:rPr>
          <w:rFonts w:ascii="楷体" w:hAnsi="楷体" w:cs="仿宋_GB2312" w:eastAsia="楷体" w:hint="eastAsia"/>
          <w:sz w:val="28"/>
          <w:szCs w:val="28"/>
        </w:rPr>
        <w:t xml:space="preserve">1.文中内容与后面示范中心数据相对应，必须客观真实，避免使用“国内领先”、“国际一流”等词。</w:t>
      </w:r>
      <w:r/>
    </w:p>
    <w:p>
      <w:pPr>
        <w:ind w:firstLine="560"/>
        <w:rPr>
          <w:rFonts w:ascii="楷体" w:hAnsi="楷体" w:cs="仿宋_GB2312" w:eastAsia="楷体"/>
          <w:sz w:val="28"/>
          <w:szCs w:val="28"/>
        </w:rPr>
      </w:pPr>
      <w:r>
        <w:rPr>
          <w:rFonts w:ascii="楷体" w:hAnsi="楷体" w:cs="仿宋_GB2312" w:eastAsia="楷体" w:hint="eastAsia"/>
          <w:sz w:val="28"/>
          <w:szCs w:val="28"/>
        </w:rPr>
        <w:t xml:space="preserve">2.文中介绍的成果必须有示范中心人员（含固定人员和流动人员）的署名，且署名本校名称。</w:t>
      </w:r>
      <w:r/>
    </w:p>
    <w:p>
      <w:pPr>
        <w:ind w:firstLine="560"/>
        <w:rPr>
          <w:rFonts w:ascii="楷体" w:hAnsi="楷体" w:cs="仿宋_GB2312" w:eastAsia="楷体"/>
          <w:sz w:val="28"/>
          <w:szCs w:val="28"/>
        </w:rPr>
        <w:sectPr>
          <w:footerReference w:type="default" r:id="rId8"/>
          <w:footnotePr/>
          <w:type w:val="nextPage"/>
          <w:pgSz w:w="11900" w:h="16840" w:orient="portrait"/>
          <w:pgMar w:top="1440" w:right="1797" w:bottom="1440" w:left="1797" w:header="851" w:footer="992" w:gutter="0"/>
          <w:cols w:num="1" w:sep="0" w:space="425" w:equalWidth="1"/>
          <w:docGrid w:linePitch="360"/>
        </w:sectPr>
      </w:pPr>
      <w:r>
        <w:rPr>
          <w:rFonts w:ascii="楷体" w:hAnsi="楷体" w:cs="仿宋_GB2312" w:eastAsia="楷体" w:hint="eastAsia"/>
          <w:sz w:val="28"/>
          <w:szCs w:val="28"/>
        </w:rPr>
        <w:t xml:space="preserve">3.年度报告的表格行数可据实调整，不设附件，请做好相关成果支撑材料的存档工作。</w:t>
      </w:r>
      <w:r/>
    </w:p>
    <w:p>
      <w:pPr>
        <w:jc w:val="center"/>
        <w:rPr>
          <w:rFonts w:ascii="Times New Roman" w:hAnsi="Times New Roman" w:cs="Times New Roman" w:eastAsia="楷体_GB2312"/>
          <w:sz w:val="28"/>
        </w:rPr>
      </w:pPr>
      <w:r>
        <w:rPr>
          <w:rFonts w:ascii="Times New Roman" w:hAnsi="Times New Roman" w:cs="Times New Roman" w:eastAsia="楷体_GB2312"/>
          <w:sz w:val="28"/>
        </w:rPr>
      </w:r>
      <w:r/>
    </w:p>
    <w:p>
      <w:pPr>
        <w:ind w:firstLine="1920"/>
        <w:widowControl/>
        <w:rPr>
          <w:rFonts w:ascii="黑体" w:hAnsi="黑体" w:cs="仿宋_GB2312" w:eastAsia="黑体"/>
          <w:bCs/>
          <w:sz w:val="32"/>
          <w:szCs w:val="32"/>
        </w:rPr>
      </w:pPr>
      <w:r>
        <w:rPr>
          <w:rFonts w:ascii="黑体" w:hAnsi="黑体" w:eastAsia="黑体" w:hint="eastAsia"/>
          <w:sz w:val="32"/>
          <w:szCs w:val="32"/>
        </w:rPr>
        <w:t xml:space="preserve">第一部分  </w:t>
      </w:r>
      <w:r>
        <w:rPr>
          <w:rFonts w:ascii="黑体" w:hAnsi="黑体" w:cs="黑体" w:eastAsia="黑体" w:hint="eastAsia"/>
          <w:bCs/>
          <w:sz w:val="32"/>
          <w:szCs w:val="32"/>
        </w:rPr>
        <w:t xml:space="preserve">年度报告</w:t>
      </w:r>
      <w:r/>
    </w:p>
    <w:p>
      <w:pPr>
        <w:ind w:right="-91" w:firstLine="480"/>
        <w:spacing w:lineRule="auto" w:line="348"/>
        <w:rPr>
          <w:rFonts w:eastAsia="楷体_GB2312"/>
          <w:sz w:val="22"/>
          <w:szCs w:val="22"/>
        </w:rPr>
      </w:pPr>
      <w:r/>
      <w:bookmarkStart w:id="0" w:name="_Toc26921"/>
      <w:r/>
      <w:bookmarkStart w:id="1" w:name="_Toc2529"/>
      <w:r>
        <w:rPr>
          <w:rFonts w:eastAsia="楷体_GB2312"/>
          <w:sz w:val="22"/>
          <w:szCs w:val="22"/>
        </w:rPr>
        <w:t xml:space="preserve">20</w:t>
      </w:r>
      <w:r>
        <w:rPr>
          <w:rFonts w:eastAsia="楷体_GB2312" w:hint="eastAsia"/>
          <w:sz w:val="22"/>
          <w:szCs w:val="22"/>
        </w:rPr>
        <w:t xml:space="preserve">22</w:t>
      </w:r>
      <w:r>
        <w:rPr>
          <w:rFonts w:eastAsia="楷体_GB2312"/>
          <w:sz w:val="22"/>
          <w:szCs w:val="22"/>
        </w:rPr>
        <w:t xml:space="preserve">年药学实验</w:t>
      </w:r>
      <w:r>
        <w:rPr>
          <w:rFonts w:eastAsia="楷体_GB2312" w:hint="eastAsia"/>
          <w:sz w:val="22"/>
          <w:szCs w:val="22"/>
        </w:rPr>
        <w:t xml:space="preserve">教学</w:t>
      </w:r>
      <w:r>
        <w:rPr>
          <w:rFonts w:eastAsia="楷体_GB2312"/>
          <w:sz w:val="22"/>
          <w:szCs w:val="22"/>
        </w:rPr>
        <w:t xml:space="preserve">中心在药学院</w:t>
      </w:r>
      <w:r>
        <w:rPr>
          <w:rFonts w:eastAsia="楷体_GB2312" w:hint="eastAsia"/>
          <w:sz w:val="22"/>
          <w:szCs w:val="22"/>
        </w:rPr>
        <w:t xml:space="preserve">、</w:t>
      </w:r>
      <w:r>
        <w:rPr>
          <w:rFonts w:eastAsia="楷体_GB2312"/>
          <w:sz w:val="22"/>
          <w:szCs w:val="22"/>
        </w:rPr>
        <w:t xml:space="preserve">实验管理中心党政正确领导</w:t>
      </w:r>
      <w:r>
        <w:rPr>
          <w:rFonts w:eastAsia="楷体_GB2312" w:hint="eastAsia"/>
          <w:sz w:val="22"/>
          <w:szCs w:val="22"/>
        </w:rPr>
        <w:t xml:space="preserve">和</w:t>
      </w:r>
      <w:r>
        <w:rPr>
          <w:rFonts w:eastAsia="楷体_GB2312"/>
          <w:sz w:val="22"/>
          <w:szCs w:val="22"/>
        </w:rPr>
        <w:t xml:space="preserve">大力支持下，</w:t>
      </w:r>
      <w:r>
        <w:rPr>
          <w:rFonts w:eastAsia="楷体_GB2312" w:hint="eastAsia"/>
          <w:sz w:val="22"/>
          <w:szCs w:val="22"/>
        </w:rPr>
        <w:t xml:space="preserve">克服各种困难</w:t>
      </w:r>
      <w:r>
        <w:rPr>
          <w:rFonts w:eastAsia="楷体_GB2312"/>
          <w:sz w:val="22"/>
          <w:szCs w:val="22"/>
        </w:rPr>
        <w:t xml:space="preserve">圆满完成了各项工作任务，取得了一定的成绩。现就人才培养工作和成效、教学改革与科学研究、人才队伍建设、信息化建设、开放运行与示范辐射和实验室安全等几方面总结如下：</w:t>
      </w:r>
      <w:bookmarkEnd w:id="0"/>
      <w:r/>
      <w:bookmarkEnd w:id="1"/>
      <w:r/>
      <w:r/>
    </w:p>
    <w:p>
      <w:pPr>
        <w:ind w:firstLine="560"/>
        <w:spacing w:lineRule="auto" w:line="360"/>
        <w:rPr>
          <w:rFonts w:ascii="黑体" w:hAnsi="黑体" w:cs="仿宋_GB2312" w:eastAsia="黑体"/>
          <w:sz w:val="28"/>
          <w:szCs w:val="28"/>
        </w:rPr>
      </w:pPr>
      <w:r>
        <w:rPr>
          <w:rFonts w:ascii="黑体" w:hAnsi="黑体" w:cs="仿宋_GB2312" w:eastAsia="黑体" w:hint="eastAsia"/>
          <w:sz w:val="28"/>
          <w:szCs w:val="28"/>
        </w:rPr>
        <w:t xml:space="preserve">一、人才培养工作和成效</w:t>
      </w:r>
      <w:r/>
    </w:p>
    <w:p>
      <w:pPr>
        <w:ind w:firstLine="560"/>
        <w:spacing w:lineRule="auto" w:line="360"/>
        <w:rPr>
          <w:rFonts w:ascii="楷体" w:hAnsi="楷体" w:cs="仿宋_GB2312" w:eastAsia="楷体"/>
          <w:sz w:val="28"/>
          <w:szCs w:val="28"/>
        </w:rPr>
      </w:pPr>
      <w:r>
        <w:rPr>
          <w:rFonts w:ascii="楷体" w:hAnsi="楷体" w:cs="仿宋_GB2312" w:eastAsia="楷体" w:hint="eastAsia"/>
          <w:sz w:val="28"/>
          <w:szCs w:val="28"/>
        </w:rPr>
        <w:t xml:space="preserve">（一）人才培养基本情况</w:t>
      </w:r>
      <w:r/>
    </w:p>
    <w:p>
      <w:pPr>
        <w:ind w:firstLine="480"/>
        <w:spacing w:lineRule="auto" w:line="348"/>
        <w:rPr>
          <w:rFonts w:eastAsia="楷体_GB2312"/>
          <w:sz w:val="22"/>
          <w:szCs w:val="22"/>
        </w:rPr>
      </w:pPr>
      <w:r>
        <w:rPr>
          <w:rFonts w:eastAsia="楷体_GB2312" w:hint="eastAsia"/>
          <w:sz w:val="22"/>
          <w:szCs w:val="22"/>
        </w:rPr>
        <w:t xml:space="preserve">药学实验中心高度重视本科生培养质量，</w:t>
      </w:r>
      <w:r>
        <w:rPr>
          <w:rFonts w:eastAsia="楷体_GB2312"/>
          <w:sz w:val="22"/>
          <w:szCs w:val="22"/>
        </w:rPr>
        <w:t xml:space="preserve">认真贯彻全国教育大会精神，切实加强师德师风建设，努力打造政治素质过硬、业务能力精湛、育人水平高超的高素质教师队伍。</w:t>
      </w:r>
      <w:r>
        <w:rPr>
          <w:rFonts w:eastAsia="楷体_GB2312" w:hint="eastAsia"/>
          <w:sz w:val="22"/>
          <w:szCs w:val="22"/>
        </w:rPr>
        <w:t xml:space="preserve">执行“强基础、重素质、提能力”的培养目标与理念，全面贯彻三全育人指导思想，以能力提高和素质培养为抓手，深入落实人才培养方案、不断提高教育教学质量、大力推进院风学风建设。</w:t>
      </w:r>
      <w:r/>
    </w:p>
    <w:p>
      <w:pPr>
        <w:ind w:firstLine="480"/>
        <w:spacing w:lineRule="auto" w:line="348"/>
        <w:rPr>
          <w:rFonts w:ascii="楷体_GB2312" w:cs="楷体_GB2312" w:eastAsia="楷体_GB2312"/>
        </w:rPr>
      </w:pPr>
      <w:r>
        <w:rPr>
          <w:rFonts w:ascii="Times New Roman" w:hAnsi="Times New Roman" w:cs="Times New Roman" w:eastAsia="楷体_GB2312"/>
          <w:sz w:val="22"/>
          <w:szCs w:val="22"/>
        </w:rPr>
        <w:t xml:space="preserve">从</w:t>
      </w:r>
      <w:r>
        <w:rPr>
          <w:rFonts w:ascii="Times New Roman" w:hAnsi="Times New Roman" w:cs="Times New Roman" w:eastAsia="楷体_GB2312"/>
          <w:sz w:val="22"/>
          <w:szCs w:val="22"/>
        </w:rPr>
        <w:t xml:space="preserve">2019</w:t>
      </w:r>
      <w:r>
        <w:rPr>
          <w:rFonts w:ascii="Times New Roman" w:hAnsi="Times New Roman" w:cs="Times New Roman" w:eastAsia="楷体_GB2312"/>
          <w:sz w:val="22"/>
          <w:szCs w:val="22"/>
        </w:rPr>
        <w:t xml:space="preserve">年起制定了学科人才培养</w:t>
      </w:r>
      <w:r>
        <w:rPr>
          <w:rFonts w:ascii="Times New Roman" w:hAnsi="Times New Roman" w:cs="Times New Roman" w:eastAsia="楷体_GB2312"/>
          <w:sz w:val="22"/>
          <w:szCs w:val="22"/>
        </w:rPr>
        <w:t xml:space="preserve">“102030”</w:t>
      </w:r>
      <w:r>
        <w:rPr>
          <w:rFonts w:ascii="Times New Roman" w:hAnsi="Times New Roman" w:cs="Times New Roman" w:eastAsia="楷体_GB2312"/>
          <w:sz w:val="22"/>
          <w:szCs w:val="22"/>
        </w:rPr>
        <w:t xml:space="preserve">行动计划</w:t>
      </w:r>
      <w:r>
        <w:rPr>
          <w:rFonts w:eastAsia="楷体_GB2312"/>
          <w:sz w:val="22"/>
          <w:szCs w:val="22"/>
        </w:rPr>
        <w:t xml:space="preserve">，坚持和深化学科队伍培养体系，加强对中青年学术骨干的培养力度；强化科研团队建设，促进内部合作与交流；不断优化学科队伍结构，打造一支具有较高水平的学科队伍；力争形成高原、培育高峰。开展新师资入职培训，将师德教育作为青年教师入职的重要内容。</w:t>
      </w:r>
      <w:r>
        <w:rPr>
          <w:rFonts w:eastAsia="楷体_GB2312" w:hint="eastAsia"/>
        </w:rPr>
        <w:t xml:space="preserve">中心</w:t>
      </w:r>
      <w:r>
        <w:rPr>
          <w:rFonts w:ascii="楷体_GB2312" w:cs="楷体_GB2312" w:eastAsia="楷体_GB2312" w:hint="eastAsia"/>
        </w:rPr>
        <w:t xml:space="preserve">要求全体教师坚持“以本为本”，把本科教育放在人才培养的核心地位、教育教学的基础地位、新时代教育发展的前沿地位；鼓励老师理论与实验相结合，改进教学方法，使激励机制在本科创新，核心竞争力和教学质量中显现。</w:t>
      </w:r>
      <w:r/>
    </w:p>
    <w:p>
      <w:pPr>
        <w:ind w:firstLine="480"/>
        <w:spacing w:lineRule="auto" w:line="360"/>
        <w:rPr>
          <w:rFonts w:ascii="楷体_GB2312" w:cs="楷体_GB2312" w:eastAsia="楷体_GB2312"/>
        </w:rPr>
      </w:pPr>
      <w:r>
        <w:rPr>
          <w:rFonts w:ascii="楷体_GB2312" w:cs="楷体_GB2312" w:eastAsia="楷体_GB2312" w:hint="eastAsia"/>
        </w:rPr>
        <w:t xml:space="preserve">创新人才培养机制，畅通产教融合渠道：药学</w:t>
      </w:r>
      <w:r>
        <w:rPr>
          <w:rFonts w:eastAsia="楷体_GB2312" w:hint="eastAsia"/>
          <w:sz w:val="22"/>
          <w:szCs w:val="22"/>
        </w:rPr>
        <w:t xml:space="preserve">实验中心</w:t>
      </w:r>
      <w:r>
        <w:rPr>
          <w:rFonts w:ascii="楷体_GB2312" w:cs="楷体_GB2312" w:eastAsia="楷体_GB2312" w:hint="eastAsia"/>
        </w:rPr>
        <w:t xml:space="preserve">与重庆华邦制药有限公司联合开设生物医药现代产业学院基于靶点的药物研发与设计试点班。设计企业文化与价值塑造、药物设计与研发、智能制造与药品质量控制、药品上市后研究与营销等课程，培养造就产业需要的高素质复合型、创新型、产业型医药人才。</w:t>
      </w:r>
      <w:r/>
    </w:p>
    <w:p>
      <w:pPr>
        <w:ind w:firstLine="480"/>
        <w:spacing w:lineRule="auto" w:line="360"/>
        <w:rPr>
          <w:rFonts w:ascii="Times New Roman" w:hAnsi="Times New Roman" w:cs="Times New Roman" w:eastAsia="楷体_GB2312"/>
        </w:rPr>
      </w:pPr>
      <w:r>
        <w:rPr>
          <w:rFonts w:ascii="Times New Roman" w:hAnsi="Times New Roman" w:cs="Times New Roman" w:eastAsia="楷体_GB2312"/>
        </w:rPr>
        <w:t xml:space="preserve">以双专业认证为契机，通过专业自评促进一流专业建设：</w:t>
      </w:r>
      <w:r>
        <w:rPr>
          <w:rFonts w:ascii="Times New Roman" w:hAnsi="Times New Roman" w:cs="Times New Roman" w:eastAsia="楷体_GB2312"/>
          <w:sz w:val="22"/>
          <w:szCs w:val="22"/>
        </w:rPr>
        <w:t xml:space="preserve">中心配合</w:t>
      </w:r>
      <w:r>
        <w:rPr>
          <w:rFonts w:ascii="Times New Roman" w:hAnsi="Times New Roman" w:cs="Times New Roman" w:eastAsia="楷体_GB2312"/>
        </w:rPr>
        <w:t xml:space="preserve">学院成立了专业认证工作组，于</w:t>
      </w:r>
      <w:r>
        <w:rPr>
          <w:rFonts w:ascii="Times New Roman" w:hAnsi="Times New Roman" w:cs="Times New Roman" w:eastAsia="楷体_GB2312"/>
        </w:rPr>
        <w:t xml:space="preserve">2022</w:t>
      </w:r>
      <w:r>
        <w:rPr>
          <w:rFonts w:ascii="Times New Roman" w:hAnsi="Times New Roman" w:cs="Times New Roman" w:eastAsia="楷体_GB2312"/>
        </w:rPr>
        <w:t xml:space="preserve">年</w:t>
      </w:r>
      <w:r>
        <w:rPr>
          <w:rFonts w:ascii="Times New Roman" w:hAnsi="Times New Roman" w:cs="Times New Roman" w:eastAsia="楷体_GB2312"/>
        </w:rPr>
        <w:t xml:space="preserve">5</w:t>
      </w:r>
      <w:r>
        <w:rPr>
          <w:rFonts w:ascii="Times New Roman" w:hAnsi="Times New Roman" w:cs="Times New Roman" w:eastAsia="楷体_GB2312"/>
        </w:rPr>
        <w:t xml:space="preserve">月组织了药学专业认证自评报告论证会和临床药学专业认证自评报告论证会，</w:t>
      </w:r>
      <w:r>
        <w:rPr>
          <w:rFonts w:ascii="Times New Roman" w:hAnsi="Times New Roman" w:cs="Times New Roman" w:eastAsia="楷体_GB2312"/>
        </w:rPr>
        <w:t xml:space="preserve">2022</w:t>
      </w:r>
      <w:r>
        <w:rPr>
          <w:rFonts w:ascii="Times New Roman" w:hAnsi="Times New Roman" w:cs="Times New Roman" w:eastAsia="楷体_GB2312"/>
        </w:rPr>
        <w:t xml:space="preserve">年</w:t>
      </w:r>
      <w:r>
        <w:rPr>
          <w:rFonts w:ascii="Times New Roman" w:hAnsi="Times New Roman" w:cs="Times New Roman" w:eastAsia="楷体_GB2312"/>
        </w:rPr>
        <w:t xml:space="preserve">10</w:t>
      </w:r>
      <w:r>
        <w:rPr>
          <w:rFonts w:ascii="Times New Roman" w:hAnsi="Times New Roman" w:cs="Times New Roman" w:eastAsia="楷体_GB2312"/>
        </w:rPr>
        <w:t xml:space="preserve">月将药学、临床药学专业认证自评报告和附录材料提交教指委。</w:t>
      </w:r>
      <w:r/>
    </w:p>
    <w:p>
      <w:pPr>
        <w:ind w:right="-338" w:firstLine="480"/>
        <w:spacing w:lineRule="auto" w:line="360"/>
        <w:rPr>
          <w:rFonts w:ascii="Times New Roman" w:hAnsi="Times New Roman" w:cs="Times New Roman"/>
        </w:rPr>
      </w:pPr>
      <w:r>
        <w:rPr>
          <w:rFonts w:ascii="Times New Roman" w:hAnsi="Times New Roman" w:cs="Times New Roman" w:eastAsia="楷体_GB2312"/>
          <w:lang w:eastAsia="zh-Hans"/>
        </w:rPr>
        <w:t xml:space="preserve">2022</w:t>
      </w:r>
      <w:r>
        <w:rPr>
          <w:rFonts w:ascii="Times New Roman" w:hAnsi="Times New Roman" w:cs="Times New Roman" w:eastAsia="楷体_GB2312"/>
          <w:lang w:eastAsia="zh-Hans"/>
        </w:rPr>
        <w:t xml:space="preserve">年，</w:t>
      </w:r>
      <w:r>
        <w:rPr>
          <w:rFonts w:ascii="Times New Roman" w:hAnsi="Times New Roman" w:cs="Times New Roman" w:eastAsia="楷体_GB2312"/>
        </w:rPr>
        <w:t xml:space="preserve">中心</w:t>
      </w:r>
      <w:r>
        <w:rPr>
          <w:rFonts w:ascii="Times New Roman" w:hAnsi="Times New Roman" w:cs="Times New Roman" w:eastAsia="楷体_GB2312"/>
          <w:lang w:eastAsia="zh-Hans"/>
        </w:rPr>
        <w:t xml:space="preserve">引进中组部</w:t>
      </w:r>
      <w:r>
        <w:rPr>
          <w:rFonts w:ascii="Times New Roman" w:hAnsi="Times New Roman" w:cs="Times New Roman" w:eastAsia="楷体_GB2312"/>
          <w:lang w:eastAsia="zh-Hans"/>
        </w:rPr>
        <w:t xml:space="preserve">“</w:t>
      </w:r>
      <w:r>
        <w:rPr>
          <w:rFonts w:ascii="Times New Roman" w:hAnsi="Times New Roman" w:cs="Times New Roman" w:eastAsia="楷体_GB2312"/>
          <w:lang w:eastAsia="zh-Hans"/>
        </w:rPr>
        <w:t xml:space="preserve">千人计划</w:t>
      </w:r>
      <w:r>
        <w:rPr>
          <w:rFonts w:ascii="Times New Roman" w:hAnsi="Times New Roman" w:cs="Times New Roman" w:eastAsia="楷体_GB2312"/>
          <w:lang w:eastAsia="zh-Hans"/>
        </w:rPr>
        <w:t xml:space="preserve">”</w:t>
      </w:r>
      <w:r>
        <w:rPr>
          <w:rFonts w:ascii="Times New Roman" w:hAnsi="Times New Roman" w:cs="Times New Roman" w:eastAsia="楷体_GB2312"/>
          <w:lang w:eastAsia="zh-Hans"/>
        </w:rPr>
        <w:t xml:space="preserve">人才</w:t>
      </w:r>
      <w:r>
        <w:rPr>
          <w:rFonts w:ascii="Times New Roman" w:hAnsi="Times New Roman" w:cs="Times New Roman" w:eastAsia="楷体_GB2312"/>
          <w:lang w:eastAsia="zh-Hans"/>
        </w:rPr>
        <w:t xml:space="preserve">1</w:t>
      </w:r>
      <w:r>
        <w:rPr>
          <w:rFonts w:ascii="Times New Roman" w:hAnsi="Times New Roman" w:cs="Times New Roman" w:eastAsia="楷体_GB2312"/>
          <w:lang w:eastAsia="zh-Hans"/>
        </w:rPr>
        <w:t xml:space="preserve">名、特聘副教授</w:t>
      </w:r>
      <w:r>
        <w:rPr>
          <w:rFonts w:ascii="Times New Roman" w:hAnsi="Times New Roman" w:cs="Times New Roman" w:eastAsia="楷体_GB2312"/>
          <w:lang w:eastAsia="zh-Hans"/>
        </w:rPr>
        <w:t xml:space="preserve">4</w:t>
      </w:r>
      <w:r>
        <w:rPr>
          <w:rFonts w:ascii="Times New Roman" w:hAnsi="Times New Roman" w:cs="Times New Roman" w:eastAsia="楷体_GB2312"/>
          <w:lang w:eastAsia="zh-Hans"/>
        </w:rPr>
        <w:t xml:space="preserve">人</w:t>
      </w:r>
      <w:r>
        <w:rPr>
          <w:rFonts w:ascii="Times New Roman" w:hAnsi="Times New Roman" w:cs="Times New Roman" w:eastAsia="楷体_GB2312"/>
        </w:rPr>
        <w:t xml:space="preserve">；进站师资博士</w:t>
      </w:r>
      <w:r>
        <w:rPr>
          <w:rFonts w:ascii="Times New Roman" w:hAnsi="Times New Roman" w:cs="Times New Roman" w:eastAsia="楷体_GB2312"/>
        </w:rPr>
        <w:t xml:space="preserve">后</w:t>
      </w:r>
      <w:r>
        <w:rPr>
          <w:rFonts w:ascii="Times New Roman" w:hAnsi="Times New Roman" w:cs="Times New Roman" w:eastAsia="楷体_GB2312"/>
        </w:rPr>
        <w:t xml:space="preserve">2</w:t>
      </w:r>
      <w:r>
        <w:rPr>
          <w:rFonts w:ascii="Times New Roman" w:hAnsi="Times New Roman" w:cs="Times New Roman" w:eastAsia="楷体_GB2312"/>
        </w:rPr>
        <w:t xml:space="preserve">名、博士后</w:t>
      </w:r>
      <w:r>
        <w:rPr>
          <w:rFonts w:ascii="Times New Roman" w:hAnsi="Times New Roman" w:cs="Times New Roman" w:eastAsia="楷体_GB2312"/>
        </w:rPr>
        <w:t xml:space="preserve">6</w:t>
      </w:r>
      <w:r>
        <w:rPr>
          <w:rFonts w:ascii="Times New Roman" w:hAnsi="Times New Roman" w:cs="Times New Roman" w:eastAsia="楷体_GB2312"/>
        </w:rPr>
        <w:t xml:space="preserve">名；</w:t>
      </w:r>
      <w:r>
        <w:rPr>
          <w:rFonts w:ascii="Times New Roman" w:hAnsi="Times New Roman" w:cs="Times New Roman" w:eastAsia="楷体_GB2312"/>
          <w:lang w:eastAsia="zh-Hans"/>
        </w:rPr>
        <w:t xml:space="preserve">推荐</w:t>
      </w:r>
      <w:r>
        <w:rPr>
          <w:rFonts w:ascii="Times New Roman" w:hAnsi="Times New Roman" w:cs="Times New Roman" w:eastAsia="楷体_GB2312"/>
          <w:lang w:eastAsia="zh-Hans"/>
        </w:rPr>
        <w:t xml:space="preserve">2</w:t>
      </w:r>
      <w:r>
        <w:rPr>
          <w:rFonts w:ascii="Times New Roman" w:hAnsi="Times New Roman" w:cs="Times New Roman" w:eastAsia="楷体_GB2312"/>
          <w:lang w:eastAsia="zh-Hans"/>
        </w:rPr>
        <w:t xml:space="preserve">人申报硕士研究生导师资格、</w:t>
      </w:r>
      <w:r>
        <w:rPr>
          <w:rFonts w:ascii="Times New Roman" w:hAnsi="Times New Roman" w:cs="Times New Roman" w:eastAsia="楷体_GB2312"/>
          <w:lang w:eastAsia="zh-Hans"/>
        </w:rPr>
        <w:t xml:space="preserve">1</w:t>
      </w:r>
      <w:r>
        <w:rPr>
          <w:rFonts w:ascii="Times New Roman" w:hAnsi="Times New Roman" w:cs="Times New Roman" w:eastAsia="楷体_GB2312"/>
          <w:lang w:eastAsia="zh-Hans"/>
        </w:rPr>
        <w:t xml:space="preserve">人申报硕士研究生兼职导师；选派</w:t>
      </w:r>
      <w:r>
        <w:rPr>
          <w:rFonts w:ascii="Times New Roman" w:hAnsi="Times New Roman" w:cs="Times New Roman" w:eastAsia="楷体_GB2312"/>
          <w:lang w:eastAsia="zh-Hans"/>
        </w:rPr>
        <w:t xml:space="preserve">2</w:t>
      </w:r>
      <w:r>
        <w:rPr>
          <w:rFonts w:ascii="Times New Roman" w:hAnsi="Times New Roman" w:cs="Times New Roman" w:eastAsia="楷体_GB2312"/>
          <w:lang w:eastAsia="zh-Hans"/>
        </w:rPr>
        <w:t xml:space="preserve">人赴瑞典卡洛琳斯卡医学院访问学习</w:t>
      </w:r>
      <w:r>
        <w:rPr>
          <w:rFonts w:ascii="Times New Roman" w:hAnsi="Times New Roman" w:cs="Times New Roman" w:eastAsia="楷体_GB2312"/>
        </w:rPr>
        <w:t xml:space="preserve">、</w:t>
      </w:r>
      <w:r>
        <w:rPr>
          <w:rFonts w:ascii="Times New Roman" w:hAnsi="Times New Roman" w:cs="Times New Roman" w:eastAsia="楷体_GB2312"/>
        </w:rPr>
        <w:t xml:space="preserve">1</w:t>
      </w:r>
      <w:r>
        <w:rPr>
          <w:rFonts w:ascii="Times New Roman" w:hAnsi="Times New Roman" w:cs="Times New Roman" w:eastAsia="楷体_GB2312"/>
        </w:rPr>
        <w:t xml:space="preserve">人赴美国研修；举办</w:t>
      </w:r>
      <w:r>
        <w:rPr>
          <w:rFonts w:ascii="Times New Roman" w:hAnsi="Times New Roman" w:cs="Times New Roman" w:eastAsia="楷体_GB2312"/>
        </w:rPr>
        <w:t xml:space="preserve">2022</w:t>
      </w:r>
      <w:r>
        <w:rPr>
          <w:rFonts w:ascii="Times New Roman" w:hAnsi="Times New Roman" w:cs="Times New Roman" w:eastAsia="楷体_GB2312"/>
        </w:rPr>
        <w:t xml:space="preserve">年重庆医科大学青年学者论坛</w:t>
      </w:r>
      <w:r>
        <w:rPr>
          <w:rFonts w:ascii="Times New Roman" w:hAnsi="Times New Roman" w:cs="Times New Roman" w:eastAsia="楷体_GB2312"/>
        </w:rPr>
        <w:t xml:space="preserve">—</w:t>
      </w:r>
      <w:r>
        <w:rPr>
          <w:rFonts w:ascii="Times New Roman" w:hAnsi="Times New Roman" w:cs="Times New Roman" w:eastAsia="楷体_GB2312"/>
        </w:rPr>
        <w:t xml:space="preserve">药学院分论坛吸纳英才</w:t>
      </w:r>
      <w:r>
        <w:rPr>
          <w:rFonts w:ascii="Times New Roman" w:hAnsi="Times New Roman" w:cs="Times New Roman" w:eastAsia="楷体_GB2312"/>
          <w:lang w:eastAsia="zh-Hans"/>
        </w:rPr>
        <w:t xml:space="preserve">。</w:t>
      </w:r>
      <w:r/>
    </w:p>
    <w:p>
      <w:pPr>
        <w:ind w:firstLine="560"/>
        <w:spacing w:lineRule="auto" w:line="360"/>
        <w:rPr>
          <w:rFonts w:ascii="Times New Roman" w:hAnsi="Times New Roman" w:cs="Times New Roman" w:eastAsia="楷体"/>
          <w:sz w:val="28"/>
          <w:szCs w:val="28"/>
        </w:rPr>
      </w:pPr>
      <w:r>
        <w:rPr>
          <w:rFonts w:ascii="Times New Roman" w:hAnsi="Times New Roman" w:cs="Times New Roman" w:eastAsia="楷体"/>
          <w:sz w:val="28"/>
          <w:szCs w:val="28"/>
        </w:rPr>
        <w:t xml:space="preserve">（二）人才培养成效评价</w:t>
      </w:r>
      <w:r/>
    </w:p>
    <w:p>
      <w:pPr>
        <w:ind w:firstLine="480"/>
        <w:spacing w:lineRule="auto" w:line="348"/>
        <w:shd w:val="clear" w:color="auto" w:fill="FFFFFF"/>
        <w:rPr>
          <w:rFonts w:ascii="Times New Roman" w:hAnsi="Times New Roman" w:cs="Times New Roman"/>
        </w:rPr>
      </w:pPr>
      <w:r>
        <w:rPr>
          <w:rFonts w:ascii="Times New Roman" w:hAnsi="Times New Roman" w:cs="Times New Roman" w:eastAsia="楷体_GB2312"/>
          <w:lang w:val="zh-TW"/>
        </w:rPr>
        <w:t xml:space="preserve">临床药学、药学专业</w:t>
      </w:r>
      <w:r>
        <w:rPr>
          <w:rFonts w:ascii="Times New Roman" w:hAnsi="Times New Roman" w:cs="Times New Roman" w:eastAsia="楷体_GB2312"/>
        </w:rPr>
        <w:t xml:space="preserve">自</w:t>
      </w:r>
      <w:r>
        <w:rPr>
          <w:rFonts w:ascii="Times New Roman" w:hAnsi="Times New Roman" w:cs="Times New Roman" w:eastAsia="楷体_GB2312"/>
          <w:lang w:val="zh-TW"/>
        </w:rPr>
        <w:t xml:space="preserve">2019</w:t>
      </w:r>
      <w:r>
        <w:rPr>
          <w:rFonts w:ascii="Times New Roman" w:hAnsi="Times New Roman" w:cs="Times New Roman" w:eastAsia="楷体_GB2312"/>
          <w:lang w:val="zh-TW"/>
        </w:rPr>
        <w:t xml:space="preserve">年入选重庆市</w:t>
      </w:r>
      <w:r>
        <w:rPr>
          <w:rFonts w:ascii="Times New Roman" w:hAnsi="Times New Roman" w:cs="Times New Roman" w:eastAsia="楷体_GB2312"/>
          <w:lang w:val="zh-TW"/>
        </w:rPr>
        <w:t xml:space="preserve"> “</w:t>
      </w:r>
      <w:r>
        <w:rPr>
          <w:rFonts w:ascii="Times New Roman" w:hAnsi="Times New Roman" w:cs="Times New Roman" w:eastAsia="楷体_GB2312"/>
          <w:lang w:val="zh-TW"/>
        </w:rPr>
        <w:t xml:space="preserve">一流专业</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建设项目后，</w:t>
      </w:r>
      <w:r>
        <w:rPr>
          <w:rFonts w:ascii="Times New Roman" w:hAnsi="Times New Roman" w:cs="Times New Roman" w:eastAsia="楷体_GB2312"/>
        </w:rPr>
        <w:t xml:space="preserve">2021</w:t>
      </w:r>
      <w:r>
        <w:rPr>
          <w:rFonts w:ascii="Times New Roman" w:hAnsi="Times New Roman" w:cs="Times New Roman" w:eastAsia="楷体_GB2312"/>
        </w:rPr>
        <w:t xml:space="preserve">年药物制剂专业又获得重庆市</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一流专业</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建设项目，药学实验中心将以入选</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一流专业</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为契机，进一步明确建设目标，坚持立德树人，切实巩固人才培养中心地位和本科教学基础地位，把思想政治教育贯穿人才培养全过程，着力深化教育教学改革，全面提升人才培养质量。</w:t>
      </w:r>
      <w:r/>
    </w:p>
    <w:p>
      <w:pPr>
        <w:ind w:firstLine="480"/>
        <w:jc w:val="left"/>
        <w:spacing w:lineRule="auto" w:line="348"/>
        <w:widowControl/>
        <w:rPr>
          <w:rFonts w:ascii="Times New Roman" w:hAnsi="Times New Roman" w:cs="Times New Roman" w:eastAsia="楷体_GB2312"/>
          <w:lang w:val="zh-TW"/>
        </w:rPr>
      </w:pPr>
      <w:r>
        <w:rPr>
          <w:rFonts w:ascii="Times New Roman" w:hAnsi="Times New Roman" w:cs="Times New Roman" w:eastAsia="楷体_GB2312"/>
          <w:lang w:val="zh-TW"/>
        </w:rPr>
        <w:t xml:space="preserve">中心坚持</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以学生为中心、服务学生发展、促进学生成长</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的工作理念，形成</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三全育人</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格局。</w:t>
      </w:r>
      <w:r>
        <w:rPr>
          <w:rFonts w:ascii="Times New Roman" w:hAnsi="Times New Roman" w:cs="Times New Roman" w:eastAsia="楷体_GB2312"/>
        </w:rPr>
        <w:t xml:space="preserve">2022</w:t>
      </w:r>
      <w:r>
        <w:rPr>
          <w:rFonts w:ascii="Times New Roman" w:hAnsi="Times New Roman" w:cs="Times New Roman" w:eastAsia="楷体_GB2312"/>
        </w:rPr>
        <w:t xml:space="preserve">年</w:t>
      </w:r>
      <w:r>
        <w:rPr>
          <w:rFonts w:ascii="Times New Roman" w:hAnsi="Times New Roman" w:cs="Times New Roman" w:eastAsia="楷体_GB2312"/>
          <w:lang w:val="zh-TW"/>
        </w:rPr>
        <w:t xml:space="preserve">学生获</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智</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汇青春</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第十三届</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挑战杯</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中国大学生创业计划竞赛重庆赛区选拔赛银奖</w:t>
      </w:r>
      <w:r>
        <w:rPr>
          <w:rFonts w:ascii="Times New Roman" w:hAnsi="Times New Roman" w:cs="Times New Roman" w:eastAsia="楷体_GB2312"/>
          <w:lang w:val="zh-TW"/>
        </w:rPr>
        <w:t xml:space="preserve">2</w:t>
      </w:r>
      <w:r>
        <w:rPr>
          <w:rFonts w:ascii="Times New Roman" w:hAnsi="Times New Roman" w:cs="Times New Roman" w:eastAsia="楷体_GB2312"/>
          <w:lang w:val="zh-TW"/>
        </w:rPr>
        <w:t xml:space="preserve">项、铜奖</w:t>
      </w:r>
      <w:r>
        <w:rPr>
          <w:rFonts w:ascii="Times New Roman" w:hAnsi="Times New Roman" w:cs="Times New Roman" w:eastAsia="楷体_GB2312"/>
          <w:lang w:val="zh-TW"/>
        </w:rPr>
        <w:t xml:space="preserve">1</w:t>
      </w:r>
      <w:r>
        <w:rPr>
          <w:rFonts w:ascii="Times New Roman" w:hAnsi="Times New Roman" w:cs="Times New Roman" w:eastAsia="楷体_GB2312"/>
          <w:lang w:val="zh-TW"/>
        </w:rPr>
        <w:t xml:space="preserve">项，重庆医科大学第十三届</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挑战杯</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中国大学生创业计划竞赛校赛优胜奖</w:t>
      </w:r>
      <w:r>
        <w:rPr>
          <w:rFonts w:ascii="Times New Roman" w:hAnsi="Times New Roman" w:cs="Times New Roman" w:eastAsia="楷体_GB2312"/>
          <w:lang w:val="zh-TW"/>
        </w:rPr>
        <w:t xml:space="preserve">4</w:t>
      </w:r>
      <w:r>
        <w:rPr>
          <w:rFonts w:ascii="Times New Roman" w:hAnsi="Times New Roman" w:cs="Times New Roman" w:eastAsia="楷体_GB2312"/>
          <w:lang w:val="zh-TW"/>
        </w:rPr>
        <w:t xml:space="preserve">项、第八届中国国际</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互联网</w:t>
      </w:r>
      <w:r>
        <w:rPr>
          <w:rFonts w:ascii="Times New Roman" w:hAnsi="Times New Roman" w:cs="Times New Roman" w:eastAsia="楷体_GB2312"/>
          <w:lang w:val="zh-TW"/>
        </w:rPr>
        <w:t xml:space="preserve">+”</w:t>
      </w:r>
      <w:r>
        <w:rPr>
          <w:rFonts w:ascii="Times New Roman" w:hAnsi="Times New Roman" w:cs="Times New Roman" w:eastAsia="楷体_GB2312"/>
          <w:lang w:val="zh-TW"/>
        </w:rPr>
        <w:t xml:space="preserve">大学生创新创业大赛优胜奖</w:t>
      </w:r>
      <w:r>
        <w:rPr>
          <w:rFonts w:ascii="Times New Roman" w:hAnsi="Times New Roman" w:cs="Times New Roman" w:eastAsia="楷体_GB2312"/>
          <w:lang w:val="zh-TW" w:eastAsia="zh-TW"/>
        </w:rPr>
        <w:t xml:space="preserve">1</w:t>
      </w:r>
      <w:r>
        <w:rPr>
          <w:rFonts w:ascii="Times New Roman" w:hAnsi="Times New Roman" w:cs="Times New Roman" w:eastAsia="楷体_GB2312"/>
          <w:lang w:val="zh-TW"/>
        </w:rPr>
        <w:t xml:space="preserve">项。</w:t>
      </w:r>
      <w:r>
        <w:rPr>
          <w:rFonts w:ascii="楷体_GB2312" w:cs="楷体_GB2312" w:eastAsia="楷体_GB2312" w:hint="eastAsia"/>
          <w:color w:val="000000" w:themeColor="text1"/>
          <w:lang w:val="zh-TW"/>
        </w:rPr>
        <w:t xml:space="preserve">发表研究论文</w:t>
      </w:r>
      <w:r>
        <w:rPr>
          <w:rFonts w:ascii="楷体_GB2312" w:cs="楷体_GB2312" w:eastAsia="楷体_GB2312" w:hint="eastAsia"/>
          <w:color w:val="000000" w:themeColor="text1"/>
        </w:rPr>
        <w:t xml:space="preserve">4篇，专利1项</w:t>
      </w:r>
      <w:r/>
    </w:p>
    <w:p>
      <w:pPr>
        <w:ind w:firstLine="2168"/>
        <w:spacing w:lineRule="auto" w:line="360"/>
        <w:rPr>
          <w:rFonts w:ascii="Times New Roman" w:hAnsi="Times New Roman" w:cs="Times New Roman"/>
        </w:rPr>
      </w:pPr>
      <w:r>
        <w:rPr>
          <w:rFonts w:ascii="Times New Roman" w:hAnsi="Times New Roman" w:cs="Times New Roman" w:eastAsia="楷体_GB2312"/>
          <w:b/>
          <w:bCs/>
          <w:sz w:val="22"/>
          <w:szCs w:val="22"/>
        </w:rPr>
        <w:t xml:space="preserve">2022</w:t>
      </w:r>
      <w:r>
        <w:rPr>
          <w:rFonts w:ascii="Times New Roman" w:hAnsi="Times New Roman" w:cs="Times New Roman" w:eastAsia="楷体_GB2312"/>
          <w:b/>
          <w:bCs/>
          <w:sz w:val="22"/>
          <w:szCs w:val="22"/>
        </w:rPr>
        <w:t xml:space="preserve">年学生参加竞赛获奖情况</w:t>
      </w:r>
      <w:r/>
    </w:p>
    <w:tbl>
      <w:tblPr>
        <w:tblpPr w:horzAnchor="page" w:tblpXSpec="center" w:vertAnchor="text" w:tblpY="472" w:leftFromText="180" w:topFromText="0" w:rightFromText="180" w:bottomFromText="0"/>
        <w:tblW w:w="8947" w:type="dxa"/>
        <w:jc w:val="center"/>
        <w:tblLayout w:type="fixed"/>
        <w:tblCellMar>
          <w:left w:w="15" w:type="dxa"/>
          <w:top w:w="15" w:type="dxa"/>
          <w:right w:w="15" w:type="dxa"/>
          <w:bottom w:w="15" w:type="dxa"/>
        </w:tblCellMar>
        <w:tblLook w:val="04A0" w:firstRow="1" w:lastRow="0" w:firstColumn="1" w:lastColumn="0" w:noHBand="0" w:noVBand="1"/>
      </w:tblPr>
      <w:tblGrid>
        <w:gridCol w:w="617"/>
        <w:gridCol w:w="1877"/>
        <w:gridCol w:w="720"/>
        <w:gridCol w:w="701"/>
        <w:gridCol w:w="2043"/>
        <w:gridCol w:w="1465"/>
        <w:gridCol w:w="1524"/>
      </w:tblGrid>
      <w:tr>
        <w:trPr>
          <w:jc w:val="center"/>
          <w:trHeight w:val="286"/>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序号</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活动名称</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级别</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奖项</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项目名称</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小组成员</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center"/>
              <w:spacing w:lineRule="auto" w:line="348"/>
              <w:rPr>
                <w:rFonts w:ascii="楷体_GB2312" w:cs="楷体_GB2312" w:eastAsia="楷体_GB2312"/>
                <w:lang w:val="zh-TW"/>
              </w:rPr>
            </w:pPr>
            <w:r>
              <w:rPr>
                <w:rFonts w:ascii="楷体_GB2312" w:cs="楷体_GB2312" w:eastAsia="楷体_GB2312" w:hint="eastAsia"/>
                <w:lang w:val="zh-TW"/>
              </w:rPr>
              <w:t xml:space="preserve">指导老师</w:t>
            </w:r>
            <w:r/>
          </w:p>
        </w:tc>
      </w:tr>
      <w:tr>
        <w:trPr>
          <w:jc w:val="center"/>
          <w:trHeight w:val="1637"/>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hint="eastAsia"/>
              </w:rPr>
              <w:t xml:space="preserve">1</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w:t>
            </w:r>
            <w:r>
              <w:rPr>
                <w:rFonts w:ascii="楷体_GB2312" w:cs="楷体_GB2312" w:eastAsia="楷体_GB2312"/>
                <w:sz w:val="21"/>
                <w:szCs w:val="21"/>
              </w:rPr>
              <w:t xml:space="preserve">‘</w:t>
            </w:r>
            <w:r>
              <w:rPr>
                <w:rFonts w:ascii="楷体_GB2312" w:cs="楷体_GB2312" w:eastAsia="楷体_GB2312" w:hint="eastAsia"/>
                <w:sz w:val="21"/>
                <w:szCs w:val="21"/>
              </w:rPr>
              <w:t xml:space="preserve">智</w:t>
            </w:r>
            <w:r>
              <w:rPr>
                <w:rFonts w:ascii="楷体_GB2312" w:cs="楷体_GB2312" w:eastAsia="楷体_GB2312"/>
                <w:sz w:val="21"/>
                <w:szCs w:val="21"/>
              </w:rPr>
              <w:t xml:space="preserve">’</w:t>
            </w:r>
            <w:r>
              <w:rPr>
                <w:rFonts w:ascii="楷体_GB2312" w:cs="楷体_GB2312" w:eastAsia="楷体_GB2312" w:hint="eastAsia"/>
                <w:sz w:val="21"/>
                <w:szCs w:val="21"/>
              </w:rPr>
              <w:t xml:space="preserve">汇青春”第十三届“挑战杯”中国大学生创业计划竞赛重庆赛区选拔赛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rPr>
            </w:pPr>
            <w:r>
              <w:rPr>
                <w:rFonts w:ascii="楷体_GB2312" w:cs="楷体_GB2312" w:eastAsia="楷体_GB2312" w:hint="eastAsia"/>
                <w:sz w:val="21"/>
                <w:szCs w:val="21"/>
              </w:rPr>
              <w:t xml:space="preserve">省部级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ind w:firstLine="105"/>
              <w:rPr>
                <w:rFonts w:ascii="楷体_GB2312" w:cs="楷体_GB2312" w:eastAsia="楷体_GB2312"/>
                <w:sz w:val="21"/>
                <w:szCs w:val="21"/>
              </w:rPr>
            </w:pPr>
            <w:r>
              <w:rPr>
                <w:rFonts w:ascii="楷体_GB2312" w:cs="楷体_GB2312" w:eastAsia="楷体_GB2312" w:hint="eastAsia"/>
                <w:sz w:val="21"/>
                <w:szCs w:val="21"/>
              </w:rPr>
              <w:t xml:space="preserve">银奖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jc w:val="center"/>
              <w:rPr>
                <w:rFonts w:ascii="楷体_GB2312" w:cs="楷体_GB2312" w:eastAsia="楷体_GB2312"/>
                <w:sz w:val="21"/>
                <w:szCs w:val="21"/>
              </w:rPr>
            </w:pPr>
            <w:r>
              <w:rPr>
                <w:rFonts w:ascii="楷体_GB2312" w:cs="楷体_GB2312" w:eastAsia="楷体_GB2312" w:hint="eastAsia"/>
                <w:sz w:val="21"/>
                <w:szCs w:val="21"/>
              </w:rPr>
              <w:t xml:space="preserve">察“涎”观色</w:t>
            </w:r>
            <w:r>
              <w:rPr>
                <w:rFonts w:ascii="楷体_GB2312" w:cs="楷体_GB2312" w:eastAsia="楷体_GB2312"/>
                <w:sz w:val="21"/>
                <w:szCs w:val="21"/>
              </w:rPr>
              <w:t xml:space="preserve">——</w:t>
            </w:r>
            <w:r>
              <w:rPr>
                <w:rFonts w:ascii="楷体_GB2312" w:cs="楷体_GB2312" w:eastAsia="楷体_GB2312" w:hint="eastAsia"/>
                <w:sz w:val="21"/>
                <w:szCs w:val="21"/>
              </w:rPr>
              <w:t xml:space="preserve">智能无创血糖监测系统</w:t>
            </w:r>
            <w:r>
              <w:rPr>
                <w:rFonts w:ascii="MS Mincho" w:hAnsi="MS Mincho" w:cs="MS Mincho" w:eastAsia="MS Mincho" w:hint="eastAsia"/>
                <w:sz w:val="21"/>
                <w:szCs w:val="21"/>
              </w:rPr>
              <w:t xml:space="preserve"> </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李慧珍、孙劭晨、王璐璐、钟沐月、周家旭、张启帆</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白丽娟、卿敏、母昭徳</w:t>
            </w:r>
            <w:r/>
          </w:p>
          <w:p>
            <w:pPr>
              <w:jc w:val="center"/>
              <w:rPr>
                <w:rFonts w:ascii="楷体_GB2312" w:cs="楷体_GB2312" w:eastAsia="楷体_GB2312"/>
                <w:sz w:val="21"/>
                <w:szCs w:val="21"/>
              </w:rPr>
            </w:pPr>
            <w:r>
              <w:rPr>
                <w:rFonts w:ascii="楷体_GB2312" w:cs="楷体_GB2312" w:eastAsia="楷体_GB2312"/>
                <w:sz w:val="21"/>
                <w:szCs w:val="21"/>
              </w:rPr>
            </w:r>
            <w:r/>
          </w:p>
        </w:tc>
      </w:tr>
      <w:tr>
        <w:trPr>
          <w:jc w:val="center"/>
          <w:trHeight w:val="1951"/>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highlight w:val="yellow"/>
              </w:rPr>
            </w:pPr>
            <w:r>
              <w:rPr>
                <w:rFonts w:ascii="楷体_GB2312" w:cs="楷体_GB2312" w:eastAsia="楷体_GB2312" w:hint="eastAsia"/>
              </w:rPr>
              <w:t xml:space="preserve">2</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rPr>
              <w:t xml:space="preserve">“</w:t>
            </w:r>
            <w:r>
              <w:rPr>
                <w:rFonts w:ascii="楷体_GB2312" w:cs="楷体_GB2312" w:eastAsia="楷体_GB2312"/>
                <w:sz w:val="21"/>
                <w:szCs w:val="21"/>
              </w:rPr>
              <w:t xml:space="preserve">‘</w:t>
            </w:r>
            <w:r>
              <w:rPr>
                <w:rFonts w:ascii="楷体_GB2312" w:cs="楷体_GB2312" w:eastAsia="楷体_GB2312" w:hint="eastAsia"/>
                <w:sz w:val="21"/>
                <w:szCs w:val="21"/>
              </w:rPr>
              <w:t xml:space="preserve">智</w:t>
            </w:r>
            <w:r>
              <w:rPr>
                <w:rFonts w:ascii="楷体_GB2312" w:cs="楷体_GB2312" w:eastAsia="楷体_GB2312"/>
                <w:sz w:val="21"/>
                <w:szCs w:val="21"/>
              </w:rPr>
              <w:t xml:space="preserve">’</w:t>
            </w:r>
            <w:r>
              <w:rPr>
                <w:rFonts w:ascii="楷体_GB2312" w:cs="楷体_GB2312" w:eastAsia="楷体_GB2312" w:hint="eastAsia"/>
                <w:sz w:val="21"/>
                <w:szCs w:val="21"/>
              </w:rPr>
              <w:t xml:space="preserve">汇青春”第十三届“挑战杯”中国大学生创业计划竞赛重庆赛区选拔赛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省部级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ind w:firstLine="105"/>
              <w:rPr>
                <w:rFonts w:ascii="楷体_GB2312" w:cs="楷体_GB2312" w:eastAsia="楷体_GB2312"/>
                <w:sz w:val="21"/>
                <w:szCs w:val="21"/>
              </w:rPr>
            </w:pPr>
            <w:r>
              <w:rPr>
                <w:rFonts w:ascii="楷体_GB2312" w:cs="楷体_GB2312" w:eastAsia="楷体_GB2312" w:hint="eastAsia"/>
                <w:sz w:val="21"/>
                <w:szCs w:val="21"/>
              </w:rPr>
              <w:t xml:space="preserve">银奖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rFonts w:ascii="楷体_GB2312" w:hAnsi="Calibri" w:cs="楷体_GB2312" w:eastAsia="楷体_GB2312"/>
                <w:sz w:val="21"/>
                <w:szCs w:val="21"/>
              </w:rPr>
            </w:pPr>
            <w:r>
              <w:rPr>
                <w:rFonts w:ascii="楷体_GB2312" w:hAnsi="Calibri" w:cs="楷体_GB2312" w:eastAsia="楷体_GB2312" w:hint="eastAsia"/>
                <w:sz w:val="21"/>
                <w:szCs w:val="21"/>
              </w:rPr>
              <w:t xml:space="preserve">每日壹药——首次实现社区医生对慢病患者用药点对点监督的服务模式</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伍玉娟、蹇祥琳、何金航、郑力丹、</w:t>
            </w:r>
            <w:r>
              <w:rPr>
                <w:rFonts w:ascii="楷体_GB2312" w:cs="楷体_GB2312" w:eastAsia="楷体_GB2312" w:hint="eastAsia"/>
                <w:bCs/>
                <w:sz w:val="21"/>
                <w:szCs w:val="21"/>
                <w:lang w:val="zh-TW"/>
              </w:rPr>
              <w:t xml:space="preserve">付文斌、邰珊珊、侯昕蔚、龙云天、淦俊霖</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廖正步、</w:t>
            </w:r>
            <w:r>
              <w:rPr>
                <w:rFonts w:ascii="楷体_GB2312" w:cs="楷体_GB2312" w:eastAsia="楷体_GB2312" w:hint="eastAsia"/>
                <w:sz w:val="21"/>
                <w:szCs w:val="21"/>
                <w:lang w:val="zh-TW" w:eastAsia="zh-TW"/>
              </w:rPr>
              <w:t xml:space="preserve">邓辉胜</w:t>
            </w:r>
            <w:r>
              <w:rPr>
                <w:rFonts w:ascii="楷体_GB2312" w:cs="楷体_GB2312" w:eastAsia="楷体_GB2312" w:hint="eastAsia"/>
                <w:sz w:val="21"/>
                <w:szCs w:val="21"/>
                <w:lang w:val="zh-TW"/>
              </w:rPr>
              <w:t xml:space="preserve">、蒋在强、高电萨、代小云</w:t>
            </w:r>
            <w:r/>
          </w:p>
        </w:tc>
      </w:tr>
      <w:tr>
        <w:trPr>
          <w:jc w:val="center"/>
          <w:trHeight w:val="1511"/>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hint="eastAsia"/>
              </w:rPr>
              <w:t xml:space="preserve">3</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w:t>
            </w:r>
            <w:r>
              <w:rPr>
                <w:rFonts w:ascii="楷体_GB2312" w:cs="楷体_GB2312" w:eastAsia="楷体_GB2312"/>
                <w:sz w:val="21"/>
                <w:szCs w:val="21"/>
              </w:rPr>
              <w:t xml:space="preserve">‘</w:t>
            </w:r>
            <w:r>
              <w:rPr>
                <w:rFonts w:ascii="楷体_GB2312" w:cs="楷体_GB2312" w:eastAsia="楷体_GB2312" w:hint="eastAsia"/>
                <w:sz w:val="21"/>
                <w:szCs w:val="21"/>
              </w:rPr>
              <w:t xml:space="preserve">智</w:t>
            </w:r>
            <w:r>
              <w:rPr>
                <w:rFonts w:ascii="楷体_GB2312" w:cs="楷体_GB2312" w:eastAsia="楷体_GB2312"/>
                <w:sz w:val="21"/>
                <w:szCs w:val="21"/>
              </w:rPr>
              <w:t xml:space="preserve">’</w:t>
            </w:r>
            <w:r>
              <w:rPr>
                <w:rFonts w:ascii="楷体_GB2312" w:cs="楷体_GB2312" w:eastAsia="楷体_GB2312" w:hint="eastAsia"/>
                <w:sz w:val="21"/>
                <w:szCs w:val="21"/>
              </w:rPr>
              <w:t xml:space="preserve">汇青春”第十三届“挑战杯”中国大学生创业计划竞赛重庆赛区选拔赛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省部级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rPr>
            </w:pPr>
            <w:r>
              <w:rPr>
                <w:rFonts w:ascii="楷体_GB2312" w:cs="楷体_GB2312" w:eastAsia="楷体_GB2312" w:hint="eastAsia"/>
                <w:sz w:val="21"/>
                <w:szCs w:val="21"/>
              </w:rPr>
              <w:t xml:space="preserve">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sz w:val="21"/>
                <w:szCs w:val="21"/>
              </w:rPr>
              <w:t xml:space="preserve">我</w:t>
            </w:r>
            <w:r>
              <w:rPr>
                <w:rFonts w:ascii="楷体_GB2312" w:cs="楷体_GB2312" w:eastAsia="楷体_GB2312"/>
                <w:sz w:val="21"/>
                <w:szCs w:val="21"/>
              </w:rPr>
              <w:t xml:space="preserve">“</w:t>
            </w:r>
            <w:r>
              <w:rPr>
                <w:rFonts w:ascii="楷体_GB2312" w:cs="楷体_GB2312" w:eastAsia="楷体_GB2312"/>
                <w:sz w:val="21"/>
                <w:szCs w:val="21"/>
              </w:rPr>
              <w:t xml:space="preserve">药</w:t>
            </w:r>
            <w:r>
              <w:rPr>
                <w:rFonts w:ascii="楷体_GB2312" w:cs="楷体_GB2312" w:eastAsia="楷体_GB2312"/>
                <w:sz w:val="21"/>
                <w:szCs w:val="21"/>
              </w:rPr>
              <w:t xml:space="preserve">”</w:t>
            </w:r>
            <w:r>
              <w:rPr>
                <w:rFonts w:ascii="楷体_GB2312" w:cs="楷体_GB2312" w:eastAsia="楷体_GB2312"/>
                <w:sz w:val="21"/>
                <w:szCs w:val="21"/>
              </w:rPr>
              <w:t xml:space="preserve">你知道</w:t>
            </w:r>
            <w:r>
              <w:rPr>
                <w:rFonts w:ascii="楷体_GB2312" w:cs="楷体_GB2312" w:eastAsia="楷体_GB2312"/>
                <w:sz w:val="21"/>
                <w:szCs w:val="21"/>
              </w:rPr>
              <w:t xml:space="preserve">——</w:t>
            </w:r>
            <w:r>
              <w:rPr>
                <w:rFonts w:ascii="楷体_GB2312" w:cs="楷体_GB2312" w:eastAsia="楷体_GB2312"/>
                <w:sz w:val="21"/>
                <w:szCs w:val="21"/>
              </w:rPr>
              <w:t xml:space="preserve">国内首家社区医药普及与用药指导平台</w:t>
            </w:r>
            <w:r/>
          </w:p>
          <w:p>
            <w:pPr>
              <w:jc w:val="center"/>
              <w:rPr>
                <w:rFonts w:ascii="楷体_GB2312" w:cs="楷体_GB2312" w:eastAsia="楷体_GB2312"/>
                <w:sz w:val="21"/>
                <w:szCs w:val="21"/>
              </w:rPr>
            </w:pPr>
            <w:r>
              <w:rPr>
                <w:rFonts w:ascii="楷体_GB2312" w:cs="楷体_GB2312" w:eastAsia="楷体_GB2312"/>
                <w:sz w:val="21"/>
                <w:szCs w:val="21"/>
              </w:rPr>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伍俊豪、陈名杰、葛中秋、李涵雯、樊鑫垚、郑镐延</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冯涛、郑航、靳明榕</w:t>
            </w:r>
            <w:r/>
          </w:p>
        </w:tc>
      </w:tr>
      <w:tr>
        <w:trPr>
          <w:jc w:val="center"/>
          <w:trHeight w:val="1422"/>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hint="eastAsia"/>
              </w:rPr>
              <w:t xml:space="preserve">4</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重庆医科大学第十三届“挑战杯”中国大学生创业计划竞赛校赛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校级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优胜奖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rFonts w:ascii="楷体_GB2312" w:hAnsi="Calibri" w:cs="楷体_GB2312" w:eastAsia="楷体_GB2312"/>
                <w:sz w:val="21"/>
                <w:szCs w:val="21"/>
                <w:lang w:val="zh-TW"/>
              </w:rPr>
            </w:pPr>
            <w:r>
              <w:rPr>
                <w:rFonts w:ascii="楷体_GB2312" w:hAnsi="Calibri" w:cs="楷体_GB2312" w:eastAsia="楷体_GB2312" w:hint="eastAsia"/>
                <w:sz w:val="21"/>
                <w:szCs w:val="21"/>
                <w:lang w:val="zh-TW"/>
              </w:rPr>
              <w:t xml:space="preserve">蛋白改性</w:t>
            </w:r>
            <w:r>
              <w:rPr>
                <w:rFonts w:ascii="楷体_GB2312" w:hAnsi="Calibri" w:cs="楷体_GB2312" w:eastAsia="楷体_GB2312"/>
                <w:sz w:val="21"/>
                <w:szCs w:val="21"/>
                <w:lang w:val="zh-TW"/>
              </w:rPr>
              <w:t xml:space="preserve">-</w:t>
            </w:r>
            <w:r>
              <w:rPr>
                <w:rFonts w:ascii="楷体_GB2312" w:hAnsi="Calibri" w:cs="楷体_GB2312" w:eastAsia="楷体_GB2312" w:hint="eastAsia"/>
                <w:sz w:val="21"/>
                <w:szCs w:val="21"/>
                <w:lang w:val="zh-TW"/>
              </w:rPr>
              <w:t xml:space="preserve">开启真皮层护肤新时代</w:t>
            </w:r>
            <w:r/>
          </w:p>
          <w:p>
            <w:pPr>
              <w:rPr>
                <w:rFonts w:ascii="楷体_GB2312" w:cs="楷体_GB2312" w:eastAsia="楷体_GB2312"/>
                <w:sz w:val="21"/>
                <w:szCs w:val="21"/>
              </w:rPr>
            </w:pPr>
            <w:r>
              <w:rPr>
                <w:rFonts w:ascii="楷体_GB2312" w:cs="楷体_GB2312" w:eastAsia="楷体_GB2312"/>
                <w:sz w:val="21"/>
                <w:szCs w:val="21"/>
              </w:rPr>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樊鑫垚、覃海洋、李翔、张雅真、陈秋玲</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彭咏波、蒋君好</w:t>
            </w:r>
            <w:r/>
          </w:p>
        </w:tc>
      </w:tr>
      <w:tr>
        <w:trPr>
          <w:jc w:val="center"/>
          <w:trHeight w:val="1461"/>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hint="eastAsia"/>
              </w:rPr>
              <w:t xml:space="preserve">5</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重庆医科大学第十三届“挑战杯”中国大学生创业计划竞赛校赛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校级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优胜奖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rFonts w:ascii="楷体_GB2312" w:cs="楷体_GB2312" w:eastAsia="楷体_GB2312"/>
                <w:sz w:val="21"/>
                <w:szCs w:val="21"/>
              </w:rPr>
            </w:pPr>
            <w:r>
              <w:rPr>
                <w:rFonts w:ascii="楷体_GB2312" w:hAnsi="Calibri" w:cs="楷体_GB2312" w:eastAsia="楷体_GB2312" w:hint="eastAsia"/>
                <w:sz w:val="21"/>
                <w:szCs w:val="21"/>
                <w:lang w:val="zh-TW"/>
              </w:rPr>
              <w:t xml:space="preserve">华夏通</w:t>
            </w:r>
            <w:r>
              <w:rPr>
                <w:rFonts w:ascii="楷体_GB2312" w:hAnsi="Calibri" w:cs="楷体_GB2312" w:eastAsia="楷体_GB2312"/>
                <w:sz w:val="21"/>
                <w:szCs w:val="21"/>
                <w:lang w:val="zh-TW"/>
              </w:rPr>
              <w:t xml:space="preserve">-</w:t>
            </w:r>
            <w:r>
              <w:rPr>
                <w:rFonts w:ascii="楷体_GB2312" w:hAnsi="Calibri" w:cs="楷体_GB2312" w:eastAsia="楷体_GB2312" w:hint="eastAsia"/>
                <w:sz w:val="21"/>
                <w:szCs w:val="21"/>
                <w:lang w:val="zh-TW"/>
              </w:rPr>
              <w:t xml:space="preserve">开启国内心脑血管疾病预防新纪元(</w:t>
            </w:r>
            <w:r>
              <w:rPr>
                <w:rFonts w:ascii="楷体_GB2312" w:hAnsi="Calibri" w:cs="楷体_GB2312" w:eastAsia="楷体_GB2312"/>
                <w:sz w:val="21"/>
                <w:szCs w:val="21"/>
                <w:lang w:val="zh-TW"/>
              </w:rPr>
              <w:t xml:space="preserve">81mg </w:t>
            </w:r>
            <w:r>
              <w:rPr>
                <w:rFonts w:ascii="楷体_GB2312" w:hAnsi="Calibri" w:cs="楷体_GB2312" w:eastAsia="楷体_GB2312" w:hint="eastAsia"/>
                <w:sz w:val="21"/>
                <w:szCs w:val="21"/>
                <w:lang w:val="zh-TW"/>
              </w:rPr>
              <w:t xml:space="preserve">小剂量阿司匹 林肠溶制剂</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胡敏霞、李静怡、伍俊豪、罗晓雨、尹珂</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胡湘南、江澜、刘星</w:t>
            </w:r>
            <w:r/>
          </w:p>
        </w:tc>
      </w:tr>
      <w:tr>
        <w:trPr>
          <w:jc w:val="center"/>
          <w:trHeight w:val="1379"/>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rPr>
              <w:t xml:space="preserve">6</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重庆医科大学第十三届“挑战杯”中国大学生创业计划竞赛校赛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校级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优胜奖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rFonts w:ascii="楷体_GB2312" w:hAnsi="Calibri" w:cs="楷体_GB2312" w:eastAsia="楷体_GB2312"/>
                <w:sz w:val="21"/>
                <w:szCs w:val="21"/>
                <w:lang w:val="zh-TW"/>
              </w:rPr>
            </w:pPr>
            <w:r>
              <w:rPr>
                <w:rFonts w:ascii="楷体_GB2312" w:hAnsi="Calibri" w:cs="楷体_GB2312" w:eastAsia="楷体_GB2312" w:hint="eastAsia"/>
                <w:sz w:val="21"/>
                <w:szCs w:val="21"/>
                <w:lang w:val="zh-TW"/>
              </w:rPr>
              <w:t xml:space="preserve">痘消安——只为做您最好的战“痘”伙伴 </w:t>
            </w:r>
            <w:r/>
          </w:p>
          <w:p>
            <w:pPr>
              <w:rPr>
                <w:rFonts w:ascii="楷体_GB2312" w:cs="楷体_GB2312" w:eastAsia="楷体_GB2312"/>
                <w:sz w:val="21"/>
                <w:szCs w:val="21"/>
                <w:lang w:val="zh-TW"/>
              </w:rPr>
            </w:pPr>
            <w:r>
              <w:rPr>
                <w:rFonts w:ascii="楷体_GB2312" w:cs="楷体_GB2312" w:eastAsia="楷体_GB2312"/>
                <w:sz w:val="21"/>
                <w:szCs w:val="21"/>
                <w:lang w:val="zh-TW"/>
              </w:rPr>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张子阳、张丽娟、应昕妤</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白燕、王安娜</w:t>
            </w:r>
            <w:r/>
          </w:p>
        </w:tc>
      </w:tr>
      <w:tr>
        <w:trPr>
          <w:jc w:val="center"/>
          <w:trHeight w:val="1516"/>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rPr>
              <w:t xml:space="preserve">7</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重庆医科大学第十三届“挑战杯”中国大学生创业计划竞赛校赛</w:t>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校级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优胜奖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rFonts w:ascii="楷体_GB2312" w:hAnsi="Calibri" w:cs="楷体_GB2312" w:eastAsia="楷体_GB2312"/>
                <w:sz w:val="21"/>
                <w:szCs w:val="21"/>
                <w:lang w:val="zh-TW"/>
              </w:rPr>
            </w:pPr>
            <w:r>
              <w:rPr>
                <w:rFonts w:ascii="楷体_GB2312" w:hAnsi="Calibri" w:cs="楷体_GB2312" w:eastAsia="楷体_GB2312" w:hint="eastAsia"/>
                <w:sz w:val="21"/>
                <w:szCs w:val="21"/>
                <w:lang w:val="zh-TW"/>
              </w:rPr>
              <w:t xml:space="preserve">智能双面外卖柜—让无接触配送更有“温度” </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迟浩然、崔嘉萍、郎天赐、布麦丽娅·热合木江、陈俊吉</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李昕粲</w:t>
            </w:r>
            <w:r/>
          </w:p>
        </w:tc>
      </w:tr>
      <w:tr>
        <w:trPr>
          <w:jc w:val="center"/>
          <w:trHeight w:val="1466"/>
        </w:trPr>
        <w:tc>
          <w:tcPr>
            <w:shd w:val="clear" w:color="auto" w:fill="auto"/>
            <w:tcBorders>
              <w:left w:val="single" w:color="000000" w:sz="4" w:space="0"/>
              <w:top w:val="single" w:color="000000" w:sz="4" w:space="0"/>
              <w:right w:val="single" w:color="000000" w:sz="4" w:space="0"/>
              <w:bottom w:val="single" w:color="000000" w:sz="4" w:space="0"/>
            </w:tcBorders>
            <w:tcW w:w="617" w:type="dxa"/>
            <w:vAlign w:val="center"/>
            <w:textDirection w:val="lrTb"/>
            <w:noWrap w:val="false"/>
          </w:tcPr>
          <w:p>
            <w:pPr>
              <w:ind w:firstLine="240"/>
              <w:spacing w:lineRule="auto" w:line="348"/>
              <w:rPr>
                <w:rFonts w:ascii="楷体_GB2312" w:cs="楷体_GB2312" w:eastAsia="楷体_GB2312"/>
              </w:rPr>
            </w:pPr>
            <w:r>
              <w:rPr>
                <w:rFonts w:ascii="楷体_GB2312" w:cs="楷体_GB2312" w:eastAsia="楷体_GB2312"/>
              </w:rPr>
              <w:t xml:space="preserve">8</w:t>
            </w:r>
            <w:r/>
          </w:p>
        </w:tc>
        <w:tc>
          <w:tcPr>
            <w:shd w:val="clear" w:color="auto" w:fill="auto"/>
            <w:tcBorders>
              <w:left w:val="single" w:color="000000" w:sz="4" w:space="0"/>
              <w:top w:val="single" w:color="000000" w:sz="4" w:space="0"/>
              <w:right w:val="single" w:color="000000" w:sz="4" w:space="0"/>
              <w:bottom w:val="single" w:color="000000" w:sz="4" w:space="0"/>
            </w:tcBorders>
            <w:tcW w:w="1877" w:type="dxa"/>
            <w:vAlign w:val="center"/>
            <w:textDirection w:val="lrTb"/>
            <w:noWrap w:val="false"/>
          </w:tcPr>
          <w:p>
            <w:pPr>
              <w:pStyle w:val="404"/>
              <w:rPr>
                <w:rFonts w:ascii="楷体_GB2312" w:hAnsi="Calibri" w:cs="楷体_GB2312" w:eastAsia="楷体_GB2312"/>
                <w:sz w:val="21"/>
                <w:szCs w:val="21"/>
                <w:lang w:val="zh-TW"/>
              </w:rPr>
            </w:pPr>
            <w:r>
              <w:rPr>
                <w:rFonts w:ascii="楷体_GB2312" w:hAnsi="Calibri" w:cs="楷体_GB2312" w:eastAsia="楷体_GB2312" w:hint="eastAsia"/>
                <w:sz w:val="21"/>
                <w:szCs w:val="21"/>
                <w:lang w:val="zh-TW"/>
              </w:rPr>
              <w:t xml:space="preserve">第八届中国国际“互 联网</w:t>
            </w:r>
            <w:r>
              <w:rPr>
                <w:rFonts w:ascii="楷体_GB2312" w:hAnsi="Calibri" w:cs="楷体_GB2312" w:eastAsia="楷体_GB2312"/>
                <w:sz w:val="21"/>
                <w:szCs w:val="21"/>
                <w:lang w:val="zh-TW"/>
              </w:rPr>
              <w:t xml:space="preserve">+</w:t>
            </w:r>
            <w:r>
              <w:rPr>
                <w:rFonts w:ascii="楷体_GB2312" w:hAnsi="Calibri" w:cs="楷体_GB2312" w:eastAsia="楷体_GB2312" w:hint="eastAsia"/>
                <w:sz w:val="21"/>
                <w:szCs w:val="21"/>
                <w:lang w:val="zh-TW"/>
              </w:rPr>
              <w:t xml:space="preserve">”大学生创新创业大赛 </w:t>
            </w:r>
            <w:r/>
          </w:p>
          <w:p>
            <w:pPr>
              <w:rPr>
                <w:rFonts w:ascii="楷体_GB2312" w:cs="楷体_GB2312" w:eastAsia="楷体_GB2312"/>
                <w:sz w:val="21"/>
                <w:szCs w:val="21"/>
              </w:rPr>
            </w:pPr>
            <w:r>
              <w:rPr>
                <w:rFonts w:ascii="楷体_GB2312" w:cs="楷体_GB2312" w:eastAsia="楷体_GB2312"/>
                <w:sz w:val="21"/>
                <w:szCs w:val="21"/>
              </w:rPr>
            </w:r>
            <w:r/>
          </w:p>
        </w:tc>
        <w:tc>
          <w:tcPr>
            <w:shd w:val="clear" w:color="auto" w:fill="auto"/>
            <w:tcBorders>
              <w:left w:val="single" w:color="000000" w:sz="4" w:space="0"/>
              <w:top w:val="single" w:color="000000" w:sz="4" w:space="0"/>
              <w:right w:val="single" w:color="000000" w:sz="4" w:space="0"/>
              <w:bottom w:val="single" w:color="000000" w:sz="4" w:space="0"/>
            </w:tcBorders>
            <w:tcW w:w="720"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校级</w:t>
            </w:r>
            <w:r/>
          </w:p>
        </w:tc>
        <w:tc>
          <w:tcPr>
            <w:shd w:val="clear" w:color="auto" w:fill="auto"/>
            <w:tcBorders>
              <w:left w:val="single" w:color="000000" w:sz="4" w:space="0"/>
              <w:top w:val="single" w:color="000000" w:sz="4" w:space="0"/>
              <w:right w:val="single" w:color="000000" w:sz="4" w:space="0"/>
              <w:bottom w:val="single" w:color="000000" w:sz="4" w:space="0"/>
            </w:tcBorders>
            <w:tcW w:w="70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优胜奖</w:t>
            </w:r>
            <w:r/>
          </w:p>
        </w:tc>
        <w:tc>
          <w:tcPr>
            <w:shd w:val="clear" w:color="auto" w:fill="auto"/>
            <w:tcBorders>
              <w:left w:val="single" w:color="000000" w:sz="4" w:space="0"/>
              <w:top w:val="single" w:color="000000" w:sz="4" w:space="0"/>
              <w:right w:val="single" w:color="000000" w:sz="4" w:space="0"/>
              <w:bottom w:val="single" w:color="000000" w:sz="4" w:space="0"/>
            </w:tcBorders>
            <w:tcW w:w="2043" w:type="dxa"/>
            <w:vAlign w:val="center"/>
            <w:textDirection w:val="lrTb"/>
            <w:noWrap w:val="false"/>
          </w:tcPr>
          <w:p>
            <w:pPr>
              <w:pStyle w:val="404"/>
              <w:rPr>
                <w:sz w:val="21"/>
                <w:szCs w:val="21"/>
              </w:rPr>
            </w:pPr>
            <w:r>
              <w:rPr>
                <w:rFonts w:ascii="楷体_GB2312" w:hAnsi="Calibri" w:cs="楷体_GB2312" w:eastAsia="楷体_GB2312" w:hint="eastAsia"/>
                <w:sz w:val="21"/>
                <w:szCs w:val="21"/>
                <w:lang w:val="zh-TW"/>
              </w:rPr>
              <w:t xml:space="preserve">察“涎”观色——智能 无创血糖监测系统 </w:t>
            </w:r>
            <w:r/>
          </w:p>
        </w:tc>
        <w:tc>
          <w:tcPr>
            <w:shd w:val="clear" w:color="auto" w:fill="auto"/>
            <w:tcBorders>
              <w:left w:val="single" w:color="000000" w:sz="4" w:space="0"/>
              <w:top w:val="single" w:color="000000" w:sz="4" w:space="0"/>
              <w:right w:val="single" w:color="000000" w:sz="4" w:space="0"/>
              <w:bottom w:val="single" w:color="000000" w:sz="4" w:space="0"/>
            </w:tcBorders>
            <w:tcW w:w="1465" w:type="dxa"/>
            <w:vAlign w:val="center"/>
            <w:textDirection w:val="lrTb"/>
            <w:noWrap w:val="false"/>
          </w:tcPr>
          <w:p>
            <w:pPr>
              <w:rPr>
                <w:rFonts w:ascii="楷体_GB2312" w:cs="楷体_GB2312" w:eastAsia="楷体_GB2312"/>
                <w:sz w:val="21"/>
                <w:szCs w:val="21"/>
                <w:lang w:val="zh-TW"/>
              </w:rPr>
            </w:pPr>
            <w:r>
              <w:rPr>
                <w:rFonts w:ascii="楷体_GB2312" w:cs="楷体_GB2312" w:eastAsia="楷体_GB2312" w:hint="eastAsia"/>
                <w:sz w:val="21"/>
                <w:szCs w:val="21"/>
                <w:lang w:val="zh-TW"/>
              </w:rPr>
              <w:t xml:space="preserve">李慧珍、王璐璐、孙劭晨、钟沐月、周家旭、张启帆</w:t>
            </w:r>
            <w:r/>
          </w:p>
        </w:tc>
        <w:tc>
          <w:tcPr>
            <w:shd w:val="clear" w:color="auto" w:fill="auto"/>
            <w:tcBorders>
              <w:left w:val="single" w:color="000000" w:sz="4" w:space="0"/>
              <w:top w:val="single" w:color="000000" w:sz="4" w:space="0"/>
              <w:right w:val="single" w:color="000000" w:sz="4" w:space="0"/>
              <w:bottom w:val="single" w:color="000000" w:sz="4" w:space="0"/>
            </w:tcBorders>
            <w:tcW w:w="1524" w:type="dxa"/>
            <w:vAlign w:val="center"/>
            <w:textDirection w:val="lrTb"/>
            <w:noWrap w:val="false"/>
          </w:tcPr>
          <w:p>
            <w:pPr>
              <w:jc w:val="left"/>
              <w:rPr>
                <w:rFonts w:ascii="楷体_GB2312" w:cs="楷体_GB2312" w:eastAsia="楷体_GB2312"/>
                <w:sz w:val="21"/>
                <w:szCs w:val="21"/>
              </w:rPr>
            </w:pPr>
            <w:r>
              <w:rPr>
                <w:rFonts w:ascii="楷体_GB2312" w:cs="楷体_GB2312" w:eastAsia="楷体_GB2312" w:hint="eastAsia"/>
                <w:sz w:val="21"/>
                <w:szCs w:val="21"/>
              </w:rPr>
              <w:t xml:space="preserve">白丽娟、卿敏、母昭徳</w:t>
            </w:r>
            <w:r/>
          </w:p>
          <w:p>
            <w:pPr>
              <w:jc w:val="center"/>
              <w:rPr>
                <w:rFonts w:ascii="楷体_GB2312" w:cs="楷体_GB2312" w:eastAsia="楷体_GB2312"/>
                <w:sz w:val="21"/>
                <w:szCs w:val="21"/>
                <w:lang w:val="zh-TW"/>
              </w:rPr>
            </w:pPr>
            <w:r>
              <w:rPr>
                <w:rFonts w:ascii="楷体_GB2312" w:cs="楷体_GB2312" w:eastAsia="楷体_GB2312"/>
                <w:sz w:val="21"/>
                <w:szCs w:val="21"/>
                <w:lang w:val="zh-TW"/>
              </w:rPr>
            </w:r>
            <w:r/>
          </w:p>
        </w:tc>
      </w:tr>
    </w:tbl>
    <w:p>
      <w:pPr>
        <w:spacing w:lineRule="auto" w:line="360"/>
        <w:rPr>
          <w:rFonts w:hAnsi="楷体_GB2312" w:eastAsia="楷体_GB2312"/>
          <w:b/>
          <w:bCs/>
          <w:sz w:val="22"/>
          <w:szCs w:val="22"/>
        </w:rPr>
      </w:pPr>
      <w:r>
        <w:rPr>
          <w:rFonts w:hAnsi="楷体_GB2312" w:eastAsia="楷体_GB2312"/>
          <w:b/>
          <w:bCs/>
          <w:sz w:val="22"/>
          <w:szCs w:val="22"/>
        </w:rPr>
      </w:r>
      <w:r/>
    </w:p>
    <w:p>
      <w:pPr>
        <w:ind w:firstLine="1928"/>
        <w:spacing w:lineRule="auto" w:line="360"/>
        <w:rPr>
          <w:rFonts w:ascii="Times New Roman" w:hAnsi="Times New Roman" w:cs="Times New Roman" w:eastAsia="楷体_GB2312"/>
          <w:b/>
          <w:bCs/>
          <w:sz w:val="22"/>
          <w:szCs w:val="22"/>
        </w:rPr>
      </w:pPr>
      <w:r>
        <w:rPr>
          <w:rFonts w:ascii="Times New Roman" w:hAnsi="Times New Roman" w:cs="Times New Roman" w:eastAsia="楷体_GB2312"/>
          <w:b/>
          <w:bCs/>
          <w:sz w:val="22"/>
          <w:szCs w:val="22"/>
        </w:rPr>
        <w:t xml:space="preserve">2022</w:t>
      </w:r>
      <w:r>
        <w:rPr>
          <w:rFonts w:ascii="Times New Roman" w:hAnsi="Times New Roman" w:cs="Times New Roman" w:eastAsia="楷体_GB2312"/>
          <w:b/>
          <w:bCs/>
          <w:sz w:val="22"/>
          <w:szCs w:val="22"/>
        </w:rPr>
        <w:t xml:space="preserve">年学生参与中心教师科研情况</w:t>
      </w:r>
      <w:r/>
    </w:p>
    <w:tbl>
      <w:tblPr>
        <w:tblStyle w:val="406"/>
        <w:tblW w:w="8724" w:type="dxa"/>
        <w:jc w:val="center"/>
        <w:tblLayout w:type="fixed"/>
        <w:tblLook w:val="04A0" w:firstRow="1" w:lastRow="0" w:firstColumn="1" w:lastColumn="0" w:noHBand="0" w:noVBand="1"/>
      </w:tblPr>
      <w:tblGrid>
        <w:gridCol w:w="1021"/>
        <w:gridCol w:w="1403"/>
        <w:gridCol w:w="4218"/>
        <w:gridCol w:w="2082"/>
      </w:tblGrid>
      <w:tr>
        <w:trPr>
          <w:jc w:val="center"/>
        </w:trPr>
        <w:tc>
          <w:tcPr>
            <w:tcW w:w="1021" w:type="dxa"/>
            <w:textDirection w:val="lrTb"/>
            <w:noWrap w:val="false"/>
          </w:tcPr>
          <w:p>
            <w:pPr>
              <w:jc w:val="center"/>
              <w:rPr>
                <w:rFonts w:ascii="Times New Roman" w:hAnsi="Times New Roman" w:cs="Times New Roman"/>
                <w:b/>
                <w:bCs/>
                <w:sz w:val="20"/>
                <w:szCs w:val="20"/>
                <w:lang w:bidi="ar"/>
              </w:rPr>
            </w:pPr>
            <w:r>
              <w:rPr>
                <w:rFonts w:ascii="Times New Roman" w:hAnsi="Times New Roman" w:cs="Times New Roman" w:hint="eastAsia"/>
                <w:b/>
                <w:bCs/>
                <w:sz w:val="20"/>
                <w:szCs w:val="20"/>
                <w:lang w:bidi="ar"/>
              </w:rPr>
              <w:t xml:space="preserve">序号</w:t>
            </w:r>
            <w:r/>
          </w:p>
        </w:tc>
        <w:tc>
          <w:tcPr>
            <w:tcW w:w="1403" w:type="dxa"/>
            <w:textDirection w:val="lrTb"/>
            <w:noWrap w:val="false"/>
          </w:tcPr>
          <w:p>
            <w:pPr>
              <w:jc w:val="center"/>
              <w:rPr>
                <w:rFonts w:ascii="Times New Roman" w:hAnsi="Times New Roman" w:cs="Times New Roman"/>
                <w:b/>
                <w:bCs/>
                <w:sz w:val="20"/>
                <w:szCs w:val="20"/>
                <w:lang w:bidi="ar"/>
              </w:rPr>
            </w:pPr>
            <w:r>
              <w:rPr>
                <w:rFonts w:ascii="Times New Roman" w:hAnsi="Times New Roman" w:cs="Times New Roman" w:hint="eastAsia"/>
                <w:b/>
                <w:bCs/>
                <w:sz w:val="20"/>
                <w:szCs w:val="20"/>
                <w:lang w:bidi="ar"/>
              </w:rPr>
              <w:t xml:space="preserve">学生姓名</w:t>
            </w:r>
            <w:r/>
          </w:p>
        </w:tc>
        <w:tc>
          <w:tcPr>
            <w:tcW w:w="4218" w:type="dxa"/>
            <w:textDirection w:val="lrTb"/>
            <w:noWrap w:val="false"/>
          </w:tcPr>
          <w:p>
            <w:pPr>
              <w:jc w:val="center"/>
              <w:rPr>
                <w:rFonts w:ascii="Times New Roman" w:hAnsi="Times New Roman" w:cs="Times New Roman"/>
                <w:b/>
                <w:bCs/>
                <w:sz w:val="20"/>
                <w:szCs w:val="20"/>
                <w:lang w:bidi="ar"/>
              </w:rPr>
            </w:pPr>
            <w:r>
              <w:rPr>
                <w:rFonts w:ascii="Times New Roman" w:hAnsi="Times New Roman" w:cs="Times New Roman" w:hint="eastAsia"/>
                <w:b/>
                <w:bCs/>
                <w:sz w:val="20"/>
                <w:szCs w:val="20"/>
                <w:lang w:bidi="ar"/>
              </w:rPr>
              <w:t xml:space="preserve">参与项目名称</w:t>
            </w:r>
            <w:r/>
          </w:p>
        </w:tc>
        <w:tc>
          <w:tcPr>
            <w:tcW w:w="2082" w:type="dxa"/>
            <w:textDirection w:val="lrTb"/>
            <w:noWrap w:val="false"/>
          </w:tcPr>
          <w:p>
            <w:pPr>
              <w:jc w:val="center"/>
              <w:rPr>
                <w:rFonts w:ascii="Times New Roman" w:hAnsi="Times New Roman" w:cs="Times New Roman"/>
                <w:b/>
                <w:bCs/>
                <w:sz w:val="20"/>
                <w:szCs w:val="20"/>
                <w:lang w:bidi="ar"/>
              </w:rPr>
            </w:pPr>
            <w:r>
              <w:rPr>
                <w:rFonts w:ascii="Times New Roman" w:hAnsi="Times New Roman" w:cs="Times New Roman" w:hint="eastAsia"/>
                <w:b/>
                <w:bCs/>
                <w:sz w:val="20"/>
                <w:szCs w:val="20"/>
                <w:lang w:bidi="ar"/>
              </w:rPr>
              <w:t xml:space="preserve">指导教师</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1</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白家豪</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多肽介导组装多肽-DNA复合纳米载药系统修复肺血管内皮屏障功能研究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刘倩</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2</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董智闻、</w:t>
            </w:r>
            <w:r/>
          </w:p>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闫思怡</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Cav-1调控血管内皮糖萼唾液酸稳态，影响动脉粥样硬化疾病机制研究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马丽梅</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3</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李雅萱</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急性髓系白血病药物米哚妥林类似物的合成研究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罗娟</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4</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李雅婷、</w:t>
            </w:r>
            <w:r/>
          </w:p>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毛新月</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咔唑衍生物的合成及抗肿瘤活性研究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唐强</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5</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黄蓉、匡晓英、袁梦洁</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基于含氧稠环共轭体的近红外RSS荧光探针的合成及性能研究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徐启贵</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6</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张艳涛</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用于显示溶酶体自噬、药物诱导pH改变和恶性肿瘤微环境的pH超敏感传感器</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甘勇军</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7</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冯子凌</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多肽修饰的仿生化gemini纳米粒介导的多重心肌靶向性基因递送系统研究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陈华黎</w:t>
            </w:r>
            <w:r/>
          </w:p>
        </w:tc>
      </w:tr>
      <w:tr>
        <w:trPr>
          <w:jc w:val="center"/>
        </w:trPr>
        <w:tc>
          <w:tcPr>
            <w:tcW w:w="1021"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rPr>
              <w:t xml:space="preserve">8</w:t>
            </w:r>
            <w:r/>
          </w:p>
        </w:tc>
        <w:tc>
          <w:tcPr>
            <w:tcW w:w="1403"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张丽娟</w:t>
            </w:r>
            <w:r/>
          </w:p>
        </w:tc>
        <w:tc>
          <w:tcPr>
            <w:tcW w:w="4218" w:type="dxa"/>
            <w:vAlign w:val="center"/>
            <w:textDirection w:val="lrTb"/>
            <w:noWrap w:val="false"/>
          </w:tcPr>
          <w:p>
            <w:pPr>
              <w:jc w:val="left"/>
              <w:rPr>
                <w:rFonts w:ascii="楷体_GB2312" w:cs="楷体_GB2312" w:eastAsia="楷体_GB2312"/>
                <w:sz w:val="21"/>
                <w:szCs w:val="21"/>
                <w:lang w:val="zh-TW"/>
              </w:rPr>
            </w:pPr>
            <w:r>
              <w:rPr>
                <w:rFonts w:ascii="楷体_GB2312" w:cs="楷体_GB2312" w:eastAsia="楷体_GB2312" w:hint="eastAsia"/>
                <w:sz w:val="21"/>
                <w:szCs w:val="21"/>
                <w:lang w:val="zh-TW"/>
              </w:rPr>
              <w:t xml:space="preserve">腱骨界面高仿生复合支架的构建及其生物效</w:t>
            </w:r>
            <w:r>
              <w:rPr>
                <w:rFonts w:ascii="楷体_GB2312" w:cs="楷体_GB2312" w:eastAsia="楷体_GB2312" w:hint="eastAsia"/>
                <w:sz w:val="21"/>
                <w:szCs w:val="21"/>
                <w:lang w:val="zh-TW"/>
              </w:rPr>
              <w:t xml:space="preserve">应的研究</w:t>
            </w:r>
            <w:r/>
          </w:p>
        </w:tc>
        <w:tc>
          <w:tcPr>
            <w:tcW w:w="2082" w:type="dxa"/>
            <w:vAlign w:val="center"/>
            <w:textDirection w:val="lrTb"/>
            <w:noWrap w:val="false"/>
          </w:tcPr>
          <w:p>
            <w:pPr>
              <w:jc w:val="center"/>
              <w:rPr>
                <w:rFonts w:ascii="楷体_GB2312" w:cs="楷体_GB2312" w:eastAsia="楷体_GB2312"/>
                <w:sz w:val="21"/>
                <w:szCs w:val="21"/>
                <w:lang w:val="zh-TW"/>
              </w:rPr>
            </w:pPr>
            <w:r>
              <w:rPr>
                <w:rFonts w:ascii="楷体_GB2312" w:cs="楷体_GB2312" w:eastAsia="楷体_GB2312" w:hint="eastAsia"/>
                <w:sz w:val="21"/>
                <w:szCs w:val="21"/>
                <w:lang w:val="zh-TW"/>
              </w:rPr>
              <w:t xml:space="preserve">白燕</w:t>
            </w:r>
            <w:r/>
          </w:p>
        </w:tc>
      </w:tr>
    </w:tbl>
    <w:tbl>
      <w:tblPr>
        <w:tblpPr w:horzAnchor="page" w:tblpXSpec="center" w:vertAnchor="text" w:tblpY="3521" w:leftFromText="180" w:topFromText="0" w:rightFromText="180" w:bottomFromText="0"/>
        <w:tblW w:w="9189"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697"/>
        <w:gridCol w:w="1144"/>
        <w:gridCol w:w="3083"/>
        <w:gridCol w:w="1800"/>
        <w:gridCol w:w="1329"/>
        <w:gridCol w:w="1136"/>
      </w:tblGrid>
      <w:tr>
        <w:trPr>
          <w:jc w:val="center"/>
          <w:trHeight w:val="336"/>
        </w:trPr>
        <w:tc>
          <w:tcPr>
            <w:shd w:val="clear" w:color="auto" w:fill="auto"/>
            <w:tcW w:w="697" w:type="dxa"/>
            <w:vAlign w:val="center"/>
            <w:textDirection w:val="lrTb"/>
            <w:noWrap/>
          </w:tcPr>
          <w:p>
            <w:pPr>
              <w:jc w:val="left"/>
              <w:tabs>
                <w:tab w:val="left" w:pos="280" w:leader="none"/>
              </w:tabs>
              <w:rPr>
                <w:rFonts w:ascii="Times New Roman" w:hAnsi="Times New Roman" w:cs="Times New Roman"/>
                <w:b/>
                <w:bCs/>
                <w:sz w:val="20"/>
                <w:szCs w:val="20"/>
                <w:lang w:bidi="ar"/>
              </w:rPr>
            </w:pPr>
            <w:r>
              <w:rPr>
                <w:rFonts w:ascii="Times New Roman" w:hAnsi="Times New Roman" w:cs="Times New Roman" w:hint="eastAsia"/>
                <w:b/>
                <w:bCs/>
                <w:sz w:val="20"/>
                <w:szCs w:val="20"/>
                <w:lang w:bidi="ar"/>
              </w:rPr>
              <w:t xml:space="preserve">序号</w:t>
            </w:r>
            <w:r/>
          </w:p>
        </w:tc>
        <w:tc>
          <w:tcPr>
            <w:shd w:val="clear" w:color="auto" w:fill="auto"/>
            <w:tcW w:w="1144" w:type="dxa"/>
            <w:vAlign w:val="center"/>
            <w:textDirection w:val="lrTb"/>
            <w:noWrap/>
          </w:tcPr>
          <w:p>
            <w:pPr>
              <w:jc w:val="center"/>
              <w:rPr>
                <w:rFonts w:ascii="Times New Roman" w:hAnsi="Times New Roman" w:cs="Times New Roman"/>
                <w:b/>
                <w:bCs/>
                <w:sz w:val="20"/>
                <w:szCs w:val="20"/>
              </w:rPr>
            </w:pPr>
            <w:r>
              <w:rPr>
                <w:rFonts w:ascii="Times New Roman" w:hAnsi="Times New Roman" w:cs="Times New Roman"/>
                <w:b/>
                <w:bCs/>
                <w:sz w:val="20"/>
                <w:szCs w:val="20"/>
                <w:lang w:bidi="ar"/>
              </w:rPr>
              <w:t xml:space="preserve">学生姓名</w:t>
            </w:r>
            <w:r/>
          </w:p>
        </w:tc>
        <w:tc>
          <w:tcPr>
            <w:shd w:val="clear" w:color="auto" w:fill="auto"/>
            <w:tcW w:w="3083" w:type="dxa"/>
            <w:vAlign w:val="center"/>
            <w:textDirection w:val="lrTb"/>
            <w:noWrap/>
          </w:tcPr>
          <w:p>
            <w:pPr>
              <w:jc w:val="center"/>
              <w:rPr>
                <w:rFonts w:ascii="Times New Roman" w:hAnsi="Times New Roman" w:cs="Times New Roman"/>
                <w:b/>
                <w:bCs/>
                <w:sz w:val="20"/>
                <w:szCs w:val="20"/>
              </w:rPr>
            </w:pPr>
            <w:r>
              <w:rPr>
                <w:rFonts w:ascii="Times New Roman" w:hAnsi="Times New Roman" w:cs="Times New Roman"/>
                <w:b/>
                <w:bCs/>
                <w:sz w:val="20"/>
                <w:szCs w:val="20"/>
                <w:lang w:bidi="ar"/>
              </w:rPr>
              <w:t xml:space="preserve">论文名称</w:t>
            </w:r>
            <w:r/>
          </w:p>
        </w:tc>
        <w:tc>
          <w:tcPr>
            <w:shd w:val="clear" w:color="auto" w:fill="auto"/>
            <w:tcW w:w="1800" w:type="dxa"/>
            <w:vAlign w:val="center"/>
            <w:textDirection w:val="lrTb"/>
            <w:noWrap/>
          </w:tcPr>
          <w:p>
            <w:pPr>
              <w:jc w:val="center"/>
              <w:rPr>
                <w:rFonts w:ascii="Times New Roman" w:hAnsi="Times New Roman" w:cs="Times New Roman"/>
                <w:b/>
                <w:bCs/>
                <w:sz w:val="20"/>
                <w:szCs w:val="20"/>
              </w:rPr>
            </w:pPr>
            <w:r>
              <w:rPr>
                <w:rFonts w:ascii="Times New Roman" w:hAnsi="Times New Roman" w:cs="Times New Roman"/>
                <w:b/>
                <w:bCs/>
                <w:sz w:val="20"/>
                <w:szCs w:val="20"/>
                <w:lang w:bidi="ar"/>
              </w:rPr>
              <w:t xml:space="preserve">发表期刊</w:t>
            </w:r>
            <w:r/>
          </w:p>
        </w:tc>
        <w:tc>
          <w:tcPr>
            <w:shd w:val="clear" w:color="auto" w:fill="auto"/>
            <w:tcW w:w="1329" w:type="dxa"/>
            <w:vAlign w:val="center"/>
            <w:textDirection w:val="lrTb"/>
            <w:noWrap/>
          </w:tcPr>
          <w:p>
            <w:pPr>
              <w:jc w:val="center"/>
              <w:rPr>
                <w:rFonts w:ascii="Times New Roman" w:hAnsi="Times New Roman" w:cs="Times New Roman"/>
                <w:b/>
                <w:bCs/>
                <w:sz w:val="20"/>
                <w:szCs w:val="20"/>
              </w:rPr>
            </w:pPr>
            <w:r>
              <w:rPr>
                <w:rFonts w:ascii="Times New Roman" w:hAnsi="Times New Roman" w:cs="Times New Roman"/>
                <w:b/>
                <w:bCs/>
                <w:sz w:val="20"/>
                <w:szCs w:val="20"/>
                <w:lang w:bidi="ar"/>
              </w:rPr>
              <w:t xml:space="preserve">发表时间</w:t>
            </w:r>
            <w:r/>
          </w:p>
        </w:tc>
        <w:tc>
          <w:tcPr>
            <w:shd w:val="clear" w:color="auto" w:fill="auto"/>
            <w:tcW w:w="1136" w:type="dxa"/>
            <w:vAlign w:val="center"/>
            <w:textDirection w:val="lrTb"/>
            <w:noWrap/>
          </w:tcPr>
          <w:p>
            <w:pPr>
              <w:jc w:val="center"/>
              <w:rPr>
                <w:rFonts w:ascii="Times New Roman" w:hAnsi="Times New Roman" w:cs="Times New Roman"/>
                <w:b/>
                <w:bCs/>
                <w:sz w:val="20"/>
                <w:szCs w:val="20"/>
              </w:rPr>
            </w:pPr>
            <w:r>
              <w:rPr>
                <w:rFonts w:ascii="Times New Roman" w:hAnsi="Times New Roman" w:cs="Times New Roman"/>
                <w:b/>
                <w:bCs/>
                <w:sz w:val="20"/>
                <w:szCs w:val="20"/>
                <w:lang w:bidi="ar"/>
              </w:rPr>
              <w:t xml:space="preserve">收录情况</w:t>
            </w:r>
            <w:r/>
          </w:p>
        </w:tc>
      </w:tr>
      <w:tr>
        <w:trPr>
          <w:jc w:val="center"/>
          <w:trHeight w:val="792"/>
        </w:trPr>
        <w:tc>
          <w:tcPr>
            <w:shd w:val="clear" w:color="auto" w:fill="auto"/>
            <w:tcW w:w="697"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1</w:t>
            </w:r>
            <w:r/>
          </w:p>
        </w:tc>
        <w:tc>
          <w:tcPr>
            <w:shd w:val="clear" w:color="auto" w:fill="auto"/>
            <w:tcW w:w="1144"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张丽娟</w:t>
            </w:r>
            <w:r/>
          </w:p>
        </w:tc>
        <w:tc>
          <w:tcPr>
            <w:shd w:val="clear" w:color="auto" w:fill="auto"/>
            <w:tcW w:w="3083" w:type="dxa"/>
            <w:vAlign w:val="center"/>
            <w:textDirection w:val="lrTb"/>
            <w:noWrap w:val="false"/>
          </w:tcPr>
          <w:p>
            <w:pPr>
              <w:jc w:val="left"/>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肌腱仿生用定向</w:t>
            </w:r>
            <w:r>
              <w:rPr>
                <w:rFonts w:ascii="Times New Roman" w:hAnsi="Times New Roman" w:cs="Times New Roman" w:eastAsia="楷体_GB2312" w:hint="eastAsia"/>
                <w:sz w:val="21"/>
                <w:szCs w:val="21"/>
              </w:rPr>
              <w:t xml:space="preserve">PLLA</w:t>
            </w:r>
            <w:r>
              <w:rPr>
                <w:rFonts w:ascii="Times New Roman" w:hAnsi="Times New Roman" w:cs="Times New Roman" w:eastAsia="楷体_GB2312" w:hint="eastAsia"/>
                <w:sz w:val="21"/>
                <w:szCs w:val="21"/>
              </w:rPr>
              <w:t xml:space="preserve">微纳米纤维的静电纺丝工艺参数研究</w:t>
            </w:r>
            <w:r/>
          </w:p>
        </w:tc>
        <w:tc>
          <w:tcPr>
            <w:shd w:val="clear" w:color="auto" w:fill="auto"/>
            <w:tcW w:w="1800" w:type="dxa"/>
            <w:vAlign w:val="center"/>
            <w:textDirection w:val="lrTb"/>
            <w:noWrap w:val="false"/>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材料科学与工艺</w:t>
            </w:r>
            <w:r/>
          </w:p>
        </w:tc>
        <w:tc>
          <w:tcPr>
            <w:shd w:val="clear" w:color="auto" w:fill="auto"/>
            <w:tcW w:w="1329"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2</w:t>
            </w:r>
            <w:r>
              <w:rPr>
                <w:rFonts w:ascii="Times New Roman" w:hAnsi="Times New Roman" w:cs="Times New Roman" w:eastAsia="楷体_GB2312"/>
                <w:sz w:val="21"/>
                <w:szCs w:val="21"/>
              </w:rPr>
              <w:t xml:space="preserve">022.06</w:t>
            </w:r>
            <w:r/>
          </w:p>
        </w:tc>
        <w:tc>
          <w:tcPr>
            <w:shd w:val="clear" w:color="auto" w:fill="auto"/>
            <w:tcW w:w="1136"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CSCD</w:t>
            </w:r>
            <w:r/>
          </w:p>
        </w:tc>
      </w:tr>
      <w:tr>
        <w:trPr>
          <w:jc w:val="center"/>
          <w:trHeight w:val="1278"/>
        </w:trPr>
        <w:tc>
          <w:tcPr>
            <w:shd w:val="clear" w:color="auto" w:fill="auto"/>
            <w:tcW w:w="697"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2</w:t>
            </w:r>
            <w:r/>
          </w:p>
        </w:tc>
        <w:tc>
          <w:tcPr>
            <w:shd w:val="clear" w:color="auto" w:fill="auto"/>
            <w:tcW w:w="1144" w:type="dxa"/>
            <w:vAlign w:val="center"/>
            <w:textDirection w:val="lrTb"/>
            <w:noWrap/>
          </w:tcPr>
          <w:p>
            <w:pPr>
              <w:jc w:val="center"/>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张丽娟</w:t>
            </w:r>
            <w:r/>
          </w:p>
        </w:tc>
        <w:tc>
          <w:tcPr>
            <w:shd w:val="clear" w:color="auto" w:fill="auto"/>
            <w:tcW w:w="3083" w:type="dxa"/>
            <w:vAlign w:val="center"/>
            <w:textDirection w:val="lrTb"/>
            <w:noWrap w:val="false"/>
          </w:tcPr>
          <w:p>
            <w:pPr>
              <w:jc w:val="left"/>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Development of polymeric microparticles for controlled release of bioactive drugs using modified solution enhanced dispersion by supercritical CO</w:t>
            </w:r>
            <w:r>
              <w:rPr>
                <w:rFonts w:ascii="Times New Roman" w:hAnsi="Times New Roman" w:cs="Times New Roman" w:eastAsia="楷体_GB2312"/>
                <w:sz w:val="21"/>
                <w:szCs w:val="21"/>
              </w:rPr>
              <w:t xml:space="preserve">2</w:t>
            </w:r>
            <w:r/>
          </w:p>
        </w:tc>
        <w:tc>
          <w:tcPr>
            <w:shd w:val="clear" w:color="auto" w:fill="auto"/>
            <w:tcW w:w="1800" w:type="dxa"/>
            <w:vAlign w:val="center"/>
            <w:textDirection w:val="lrTb"/>
            <w:noWrap w:val="false"/>
          </w:tcPr>
          <w:p>
            <w:pPr>
              <w:jc w:val="center"/>
              <w:rPr>
                <w:rFonts w:ascii="Times New Roman" w:hAnsi="Times New Roman" w:cs="Times New Roman" w:eastAsia="楷体_GB2312"/>
                <w:sz w:val="21"/>
                <w:szCs w:val="21"/>
              </w:rPr>
            </w:pPr>
            <w:r>
              <w:rPr>
                <w:rFonts w:ascii="Times New Roman" w:hAnsi="Times New Roman" w:cs="Times New Roman" w:eastAsia="楷体_GB2312"/>
                <w:sz w:val="21"/>
                <w:szCs w:val="21"/>
              </w:rPr>
              <w:t xml:space="preserve">Journal of Supercritical Fluids</w:t>
            </w:r>
            <w:r/>
          </w:p>
        </w:tc>
        <w:tc>
          <w:tcPr>
            <w:shd w:val="clear" w:color="auto" w:fill="auto"/>
            <w:tcW w:w="1329"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2</w:t>
            </w:r>
            <w:r>
              <w:rPr>
                <w:rFonts w:ascii="Times New Roman" w:hAnsi="Times New Roman" w:cs="Times New Roman" w:eastAsia="楷体_GB2312"/>
                <w:sz w:val="21"/>
                <w:szCs w:val="21"/>
              </w:rPr>
              <w:t xml:space="preserve">022.10</w:t>
            </w:r>
            <w:r/>
          </w:p>
        </w:tc>
        <w:tc>
          <w:tcPr>
            <w:shd w:val="clear" w:color="auto" w:fill="auto"/>
            <w:tcW w:w="1136"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SCI</w:t>
            </w:r>
            <w:r/>
          </w:p>
        </w:tc>
      </w:tr>
      <w:tr>
        <w:trPr>
          <w:jc w:val="center"/>
          <w:trHeight w:val="792"/>
        </w:trPr>
        <w:tc>
          <w:tcPr>
            <w:shd w:val="clear" w:color="auto" w:fill="auto"/>
            <w:tcW w:w="697"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3</w:t>
            </w:r>
            <w:r/>
          </w:p>
        </w:tc>
        <w:tc>
          <w:tcPr>
            <w:shd w:val="clear" w:color="auto" w:fill="auto"/>
            <w:tcW w:w="1144" w:type="dxa"/>
            <w:vAlign w:val="center"/>
            <w:textDirection w:val="lrTb"/>
            <w:noWrap/>
          </w:tcPr>
          <w:p>
            <w:pPr>
              <w:jc w:val="center"/>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李奕昊</w:t>
            </w:r>
            <w:r/>
          </w:p>
        </w:tc>
        <w:tc>
          <w:tcPr>
            <w:shd w:val="clear" w:color="auto" w:fill="auto"/>
            <w:tcW w:w="3083" w:type="dxa"/>
            <w:vAlign w:val="center"/>
            <w:textDirection w:val="lrTb"/>
            <w:noWrap w:val="false"/>
          </w:tcPr>
          <w:p>
            <w:pPr>
              <w:jc w:val="left"/>
              <w:rPr>
                <w:rFonts w:ascii="Times New Roman" w:hAnsi="Times New Roman" w:cs="Times New Roman" w:eastAsia="楷体_GB2312"/>
                <w:sz w:val="21"/>
                <w:szCs w:val="21"/>
              </w:rPr>
            </w:pPr>
            <w:r>
              <w:rPr>
                <w:rFonts w:ascii="Times New Roman" w:hAnsi="Times New Roman" w:cs="Times New Roman" w:eastAsia="楷体_GB2312"/>
                <w:sz w:val="21"/>
                <w:szCs w:val="21"/>
              </w:rPr>
              <w:t xml:space="preserve">Design of rational JAK3 inhibitors based on the parent core structure of 1,7-dihydro-dipyrrolo[2,3-b:3‘,2’-e] pyridine</w:t>
            </w:r>
            <w:r/>
          </w:p>
        </w:tc>
        <w:tc>
          <w:tcPr>
            <w:shd w:val="clear" w:color="auto" w:fill="auto"/>
            <w:tcW w:w="1800" w:type="dxa"/>
            <w:vAlign w:val="center"/>
            <w:textDirection w:val="lrTb"/>
            <w:noWrap w:val="false"/>
          </w:tcPr>
          <w:p>
            <w:pPr>
              <w:jc w:val="center"/>
              <w:rPr>
                <w:rFonts w:ascii="Times New Roman" w:hAnsi="Times New Roman" w:cs="Times New Roman" w:eastAsia="楷体_GB2312"/>
                <w:sz w:val="21"/>
                <w:szCs w:val="21"/>
              </w:rPr>
            </w:pPr>
            <w:r>
              <w:rPr>
                <w:rFonts w:ascii="Times New Roman" w:hAnsi="Times New Roman" w:cs="Times New Roman" w:eastAsia="楷体_GB2312"/>
                <w:sz w:val="21"/>
                <w:szCs w:val="21"/>
              </w:rPr>
              <w:t xml:space="preserve">International Journal of Molecular Sciences</w:t>
            </w:r>
            <w:r/>
          </w:p>
        </w:tc>
        <w:tc>
          <w:tcPr>
            <w:shd w:val="clear" w:color="auto" w:fill="auto"/>
            <w:tcW w:w="1329"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2</w:t>
            </w:r>
            <w:r>
              <w:rPr>
                <w:rFonts w:ascii="Times New Roman" w:hAnsi="Times New Roman" w:cs="Times New Roman" w:eastAsia="楷体_GB2312"/>
                <w:sz w:val="21"/>
                <w:szCs w:val="21"/>
              </w:rPr>
              <w:t xml:space="preserve">022.05</w:t>
            </w:r>
            <w:r/>
          </w:p>
        </w:tc>
        <w:tc>
          <w:tcPr>
            <w:shd w:val="clear" w:color="auto" w:fill="auto"/>
            <w:tcW w:w="1136"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SCI</w:t>
            </w:r>
            <w:r/>
          </w:p>
        </w:tc>
      </w:tr>
      <w:tr>
        <w:trPr>
          <w:jc w:val="center"/>
          <w:trHeight w:val="792"/>
        </w:trPr>
        <w:tc>
          <w:tcPr>
            <w:shd w:val="clear" w:color="auto" w:fill="auto"/>
            <w:tcW w:w="697"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4</w:t>
            </w:r>
            <w:r/>
          </w:p>
        </w:tc>
        <w:tc>
          <w:tcPr>
            <w:shd w:val="clear" w:color="auto" w:fill="auto"/>
            <w:tcW w:w="1144" w:type="dxa"/>
            <w:vAlign w:val="center"/>
            <w:textDirection w:val="lrTb"/>
            <w:noWrap/>
          </w:tcPr>
          <w:p>
            <w:pPr>
              <w:jc w:val="center"/>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李奕昊</w:t>
            </w:r>
            <w:r/>
          </w:p>
        </w:tc>
        <w:tc>
          <w:tcPr>
            <w:shd w:val="clear" w:color="auto" w:fill="auto"/>
            <w:tcW w:w="3083" w:type="dxa"/>
            <w:vAlign w:val="center"/>
            <w:textDirection w:val="lrTb"/>
            <w:noWrap w:val="false"/>
          </w:tcPr>
          <w:p>
            <w:pPr>
              <w:jc w:val="left"/>
              <w:rPr>
                <w:rFonts w:ascii="Times New Roman" w:hAnsi="Times New Roman" w:cs="Times New Roman" w:eastAsia="楷体_GB2312"/>
                <w:sz w:val="21"/>
                <w:szCs w:val="21"/>
              </w:rPr>
            </w:pPr>
            <w:r>
              <w:rPr>
                <w:rFonts w:ascii="Times New Roman" w:hAnsi="Times New Roman" w:cs="Times New Roman" w:eastAsia="楷体_GB2312"/>
                <w:sz w:val="21"/>
                <w:szCs w:val="21"/>
              </w:rPr>
              <w:t xml:space="preserve">罕见病用药可负担性评价及医保政策研究</w:t>
            </w:r>
            <w:r/>
          </w:p>
        </w:tc>
        <w:tc>
          <w:tcPr>
            <w:shd w:val="clear" w:color="auto" w:fill="auto"/>
            <w:tcW w:w="1800" w:type="dxa"/>
            <w:vAlign w:val="center"/>
            <w:textDirection w:val="lrTb"/>
            <w:noWrap w:val="false"/>
          </w:tcPr>
          <w:p>
            <w:pPr>
              <w:jc w:val="center"/>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卫生经济研究</w:t>
            </w:r>
            <w:r/>
          </w:p>
        </w:tc>
        <w:tc>
          <w:tcPr>
            <w:shd w:val="clear" w:color="auto" w:fill="auto"/>
            <w:tcW w:w="1329"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2</w:t>
            </w:r>
            <w:r>
              <w:rPr>
                <w:rFonts w:ascii="Times New Roman" w:hAnsi="Times New Roman" w:cs="Times New Roman" w:eastAsia="楷体_GB2312"/>
                <w:sz w:val="21"/>
                <w:szCs w:val="21"/>
              </w:rPr>
              <w:t xml:space="preserve">022.03</w:t>
            </w:r>
            <w:r/>
          </w:p>
        </w:tc>
        <w:tc>
          <w:tcPr>
            <w:shd w:val="clear" w:color="auto" w:fill="auto"/>
            <w:tcW w:w="1136" w:type="dxa"/>
            <w:vAlign w:val="center"/>
            <w:textDirection w:val="lrTb"/>
            <w:noWrap/>
          </w:tcPr>
          <w:p>
            <w:pPr>
              <w:jc w:val="center"/>
              <w:spacing w:lineRule="auto" w:line="348"/>
              <w:rPr>
                <w:rFonts w:ascii="Times New Roman" w:hAnsi="Times New Roman" w:cs="Times New Roman" w:eastAsia="楷体_GB2312"/>
                <w:sz w:val="21"/>
                <w:szCs w:val="21"/>
              </w:rPr>
            </w:pPr>
            <w:r>
              <w:rPr>
                <w:rFonts w:ascii="Times New Roman" w:hAnsi="Times New Roman" w:cs="Times New Roman" w:eastAsia="楷体_GB2312" w:hint="eastAsia"/>
                <w:sz w:val="21"/>
                <w:szCs w:val="21"/>
              </w:rPr>
              <w:t xml:space="preserve">PKU</w:t>
            </w:r>
            <w:r/>
          </w:p>
        </w:tc>
      </w:tr>
    </w:tbl>
    <w:p>
      <w:pPr>
        <w:spacing w:lineRule="auto" w:line="360"/>
        <w:rPr>
          <w:rFonts w:hAnsi="楷体_GB2312" w:eastAsia="楷体_GB2312"/>
          <w:b/>
          <w:bCs/>
          <w:sz w:val="22"/>
          <w:szCs w:val="22"/>
        </w:rPr>
      </w:pPr>
      <w:r>
        <w:rPr>
          <w:rFonts w:hAnsi="楷体_GB2312" w:eastAsia="楷体_GB2312"/>
          <w:b/>
          <w:bCs/>
          <w:sz w:val="22"/>
          <w:szCs w:val="22"/>
        </w:rPr>
      </w:r>
      <w:r/>
    </w:p>
    <w:p>
      <w:pPr>
        <w:ind w:firstLine="2409"/>
        <w:spacing w:lineRule="auto" w:line="360"/>
        <w:rPr>
          <w:rFonts w:hAnsi="楷体_GB2312" w:eastAsia="楷体_GB2312"/>
          <w:b/>
          <w:bCs/>
          <w:sz w:val="21"/>
          <w:szCs w:val="21"/>
        </w:rPr>
      </w:pPr>
      <w:r>
        <w:rPr>
          <w:rFonts w:ascii="Times New Roman" w:hAnsi="Times New Roman" w:cs="Times New Roman" w:eastAsia="楷体_GB2312"/>
          <w:b/>
          <w:bCs/>
          <w:sz w:val="22"/>
          <w:szCs w:val="22"/>
        </w:rPr>
        <w:t xml:space="preserve">2022</w:t>
      </w:r>
      <w:r>
        <w:rPr>
          <w:rFonts w:ascii="Times New Roman" w:hAnsi="Times New Roman" w:cs="Times New Roman" w:eastAsia="楷体_GB2312"/>
          <w:b/>
          <w:bCs/>
          <w:sz w:val="22"/>
          <w:szCs w:val="22"/>
        </w:rPr>
        <w:t xml:space="preserve">年学生获得专利情况</w:t>
      </w:r>
      <w:r/>
    </w:p>
    <w:tbl>
      <w:tblPr>
        <w:tblW w:w="8808"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1266"/>
        <w:gridCol w:w="3922"/>
        <w:gridCol w:w="1855"/>
        <w:gridCol w:w="1765"/>
      </w:tblGrid>
      <w:tr>
        <w:trPr>
          <w:jc w:val="center"/>
          <w:trHeight w:val="336"/>
        </w:trPr>
        <w:tc>
          <w:tcPr>
            <w:shd w:val="clear" w:color="auto" w:fill="auto"/>
            <w:tcW w:w="1266" w:type="dxa"/>
            <w:vAlign w:val="center"/>
            <w:textDirection w:val="lrTb"/>
            <w:noWrap/>
          </w:tcPr>
          <w:p>
            <w:pPr>
              <w:jc w:val="left"/>
              <w:rPr>
                <w:rFonts w:ascii="Times New Roman" w:hAnsi="Times New Roman" w:cs="Times New Roman"/>
                <w:b/>
                <w:bCs/>
                <w:sz w:val="21"/>
                <w:szCs w:val="21"/>
              </w:rPr>
            </w:pPr>
            <w:r>
              <w:rPr>
                <w:rFonts w:ascii="Times New Roman" w:hAnsi="Times New Roman" w:cs="Times New Roman"/>
                <w:b/>
                <w:bCs/>
                <w:sz w:val="21"/>
                <w:szCs w:val="21"/>
                <w:lang w:bidi="ar"/>
              </w:rPr>
              <w:t xml:space="preserve">学生姓名</w:t>
            </w:r>
            <w:r/>
          </w:p>
        </w:tc>
        <w:tc>
          <w:tcPr>
            <w:shd w:val="clear" w:color="auto" w:fill="auto"/>
            <w:tcW w:w="3922" w:type="dxa"/>
            <w:vAlign w:val="center"/>
            <w:textDirection w:val="lrTb"/>
            <w:noWrap/>
          </w:tcPr>
          <w:p>
            <w:pPr>
              <w:ind w:firstLine="1054"/>
              <w:jc w:val="left"/>
              <w:rPr>
                <w:rFonts w:ascii="Times New Roman" w:hAnsi="Times New Roman" w:cs="Times New Roman"/>
                <w:b/>
                <w:bCs/>
                <w:sz w:val="21"/>
                <w:szCs w:val="21"/>
              </w:rPr>
            </w:pPr>
            <w:r>
              <w:rPr>
                <w:rFonts w:ascii="Times New Roman" w:hAnsi="Times New Roman" w:cs="Times New Roman" w:hint="eastAsia"/>
                <w:b/>
                <w:bCs/>
                <w:sz w:val="21"/>
                <w:szCs w:val="21"/>
                <w:lang w:bidi="ar"/>
              </w:rPr>
              <w:t xml:space="preserve">专利名称</w:t>
            </w:r>
            <w:r/>
          </w:p>
        </w:tc>
        <w:tc>
          <w:tcPr>
            <w:shd w:val="clear" w:color="auto" w:fill="auto"/>
            <w:tcW w:w="1855" w:type="dxa"/>
            <w:vAlign w:val="center"/>
            <w:textDirection w:val="lrTb"/>
            <w:noWrap/>
          </w:tcPr>
          <w:p>
            <w:pPr>
              <w:ind w:firstLine="632"/>
              <w:jc w:val="left"/>
              <w:rPr>
                <w:rFonts w:ascii="Times New Roman" w:hAnsi="Times New Roman" w:cs="Times New Roman"/>
                <w:b/>
                <w:bCs/>
                <w:sz w:val="21"/>
                <w:szCs w:val="21"/>
              </w:rPr>
            </w:pPr>
            <w:r>
              <w:rPr>
                <w:rFonts w:ascii="Times New Roman" w:hAnsi="Times New Roman" w:cs="Times New Roman" w:hint="eastAsia"/>
                <w:b/>
                <w:bCs/>
                <w:sz w:val="21"/>
                <w:szCs w:val="21"/>
                <w:lang w:bidi="ar"/>
              </w:rPr>
              <w:t xml:space="preserve">专利类别</w:t>
            </w:r>
            <w:r/>
          </w:p>
        </w:tc>
        <w:tc>
          <w:tcPr>
            <w:tcW w:w="1765" w:type="dxa"/>
            <w:textDirection w:val="lrTb"/>
            <w:noWrap w:val="false"/>
          </w:tcPr>
          <w:p>
            <w:pPr>
              <w:ind w:firstLine="422"/>
              <w:jc w:val="left"/>
              <w:rPr>
                <w:rFonts w:ascii="Times New Roman" w:hAnsi="Times New Roman" w:cs="Times New Roman"/>
                <w:b/>
                <w:bCs/>
                <w:sz w:val="21"/>
                <w:szCs w:val="21"/>
                <w:lang w:bidi="ar"/>
              </w:rPr>
            </w:pPr>
            <w:r>
              <w:rPr>
                <w:rFonts w:ascii="Times New Roman" w:hAnsi="Times New Roman" w:cs="Times New Roman" w:hint="eastAsia"/>
                <w:b/>
                <w:bCs/>
                <w:sz w:val="21"/>
                <w:szCs w:val="21"/>
                <w:lang w:bidi="ar"/>
              </w:rPr>
              <w:t xml:space="preserve">获批时间</w:t>
            </w:r>
            <w:r/>
          </w:p>
        </w:tc>
      </w:tr>
      <w:tr>
        <w:trPr>
          <w:jc w:val="center"/>
          <w:trHeight w:val="336"/>
        </w:trPr>
        <w:tc>
          <w:tcPr>
            <w:shd w:val="clear" w:color="auto" w:fill="auto"/>
            <w:tcBorders>
              <w:left w:val="single" w:sz="4" w:space="0" w:color="auto"/>
              <w:top w:val="single" w:sz="4" w:space="0" w:color="auto"/>
              <w:right w:val="single" w:sz="4" w:space="0" w:color="auto"/>
              <w:bottom w:val="single" w:sz="4" w:space="0" w:color="auto"/>
            </w:tcBorders>
            <w:tcW w:w="1266" w:type="dxa"/>
            <w:vAlign w:val="center"/>
            <w:textDirection w:val="lrTb"/>
            <w:noWrap/>
          </w:tcPr>
          <w:p>
            <w:pPr>
              <w:jc w:val="center"/>
              <w:rPr>
                <w:rFonts w:ascii="Times New Roman" w:hAnsi="Times New Roman" w:cs="Times New Roman" w:eastAsia="楷体_GB2312"/>
                <w:sz w:val="21"/>
                <w:szCs w:val="21"/>
                <w:lang w:val="zh-TW"/>
              </w:rPr>
            </w:pPr>
            <w:r>
              <w:rPr>
                <w:rFonts w:ascii="Times New Roman" w:hAnsi="Times New Roman" w:cs="Times New Roman" w:eastAsia="楷体_GB2312"/>
                <w:sz w:val="21"/>
                <w:szCs w:val="21"/>
                <w:lang w:val="zh-TW"/>
              </w:rPr>
              <w:t xml:space="preserve">王璐璐</w:t>
            </w:r>
            <w:r/>
          </w:p>
        </w:tc>
        <w:tc>
          <w:tcPr>
            <w:shd w:val="clear" w:color="auto" w:fill="auto"/>
            <w:tcBorders>
              <w:left w:val="single" w:sz="4" w:space="0" w:color="auto"/>
              <w:top w:val="single" w:sz="4" w:space="0" w:color="auto"/>
              <w:right w:val="single" w:sz="4" w:space="0" w:color="auto"/>
              <w:bottom w:val="single" w:sz="4" w:space="0" w:color="auto"/>
            </w:tcBorders>
            <w:tcW w:w="3922" w:type="dxa"/>
            <w:vAlign w:val="center"/>
            <w:textDirection w:val="lrTb"/>
            <w:noWrap/>
          </w:tcPr>
          <w:p>
            <w:pPr>
              <w:jc w:val="left"/>
              <w:rPr>
                <w:rFonts w:ascii="Times New Roman" w:hAnsi="Times New Roman" w:cs="Times New Roman" w:eastAsia="楷体_GB2312"/>
                <w:sz w:val="21"/>
                <w:szCs w:val="21"/>
                <w:lang w:val="zh-TW"/>
              </w:rPr>
            </w:pPr>
            <w:r>
              <w:rPr>
                <w:rFonts w:ascii="Times New Roman" w:hAnsi="Times New Roman" w:cs="Times New Roman" w:eastAsia="楷体_GB2312"/>
                <w:sz w:val="21"/>
                <w:szCs w:val="21"/>
                <w:lang w:val="zh-TW"/>
              </w:rPr>
              <w:t xml:space="preserve">用于小细胞肺癌</w:t>
            </w:r>
            <w:r>
              <w:rPr>
                <w:rFonts w:ascii="Times New Roman" w:hAnsi="Times New Roman" w:cs="Times New Roman" w:eastAsia="楷体_GB2312"/>
                <w:sz w:val="21"/>
                <w:szCs w:val="21"/>
                <w:lang w:val="zh-TW"/>
              </w:rPr>
              <w:t xml:space="preserve">NSE</w:t>
            </w:r>
            <w:r>
              <w:rPr>
                <w:rFonts w:ascii="Times New Roman" w:hAnsi="Times New Roman" w:cs="Times New Roman" w:eastAsia="楷体_GB2312"/>
                <w:sz w:val="21"/>
                <w:szCs w:val="21"/>
                <w:lang w:val="zh-TW"/>
              </w:rPr>
              <w:t xml:space="preserve">检测的电化学适体传感器的制备方法及应用</w:t>
            </w:r>
            <w:r/>
          </w:p>
        </w:tc>
        <w:tc>
          <w:tcPr>
            <w:shd w:val="clear" w:color="auto" w:fill="auto"/>
            <w:tcBorders>
              <w:left w:val="single" w:sz="4" w:space="0" w:color="auto"/>
              <w:top w:val="single" w:sz="4" w:space="0" w:color="auto"/>
              <w:right w:val="single" w:sz="4" w:space="0" w:color="auto"/>
              <w:bottom w:val="single" w:sz="4" w:space="0" w:color="auto"/>
            </w:tcBorders>
            <w:tcW w:w="1855" w:type="dxa"/>
            <w:vAlign w:val="center"/>
            <w:textDirection w:val="lrTb"/>
            <w:noWrap/>
          </w:tcPr>
          <w:p>
            <w:pPr>
              <w:jc w:val="center"/>
              <w:rPr>
                <w:rFonts w:ascii="Times New Roman" w:hAnsi="Times New Roman" w:cs="Times New Roman" w:eastAsia="楷体_GB2312"/>
                <w:sz w:val="21"/>
                <w:szCs w:val="21"/>
                <w:lang w:val="zh-TW"/>
              </w:rPr>
            </w:pPr>
            <w:r>
              <w:rPr>
                <w:rFonts w:ascii="Times New Roman" w:hAnsi="Times New Roman" w:cs="Times New Roman" w:eastAsia="楷体_GB2312"/>
                <w:sz w:val="21"/>
                <w:szCs w:val="21"/>
                <w:lang w:val="zh-TW"/>
              </w:rPr>
              <w:t xml:space="preserve">发明专利</w:t>
            </w:r>
            <w:r/>
          </w:p>
        </w:tc>
        <w:tc>
          <w:tcPr>
            <w:tcBorders>
              <w:left w:val="single" w:sz="4" w:space="0" w:color="auto"/>
              <w:top w:val="single" w:sz="4" w:space="0" w:color="auto"/>
              <w:right w:val="single" w:sz="4" w:space="0" w:color="auto"/>
              <w:bottom w:val="single" w:sz="4" w:space="0" w:color="auto"/>
            </w:tcBorders>
            <w:tcW w:w="1765" w:type="dxa"/>
            <w:vAlign w:val="center"/>
            <w:textDirection w:val="lrTb"/>
            <w:noWrap w:val="false"/>
          </w:tcPr>
          <w:p>
            <w:pPr>
              <w:jc w:val="center"/>
              <w:rPr>
                <w:rFonts w:ascii="Times New Roman" w:hAnsi="Times New Roman" w:cs="Times New Roman" w:eastAsia="楷体_GB2312"/>
                <w:sz w:val="21"/>
                <w:szCs w:val="21"/>
                <w:lang w:val="zh-TW"/>
              </w:rPr>
            </w:pPr>
            <w:r>
              <w:rPr>
                <w:rFonts w:ascii="Times New Roman" w:hAnsi="Times New Roman" w:cs="Times New Roman" w:eastAsia="楷体_GB2312"/>
                <w:sz w:val="21"/>
                <w:szCs w:val="21"/>
                <w:lang w:val="zh-TW"/>
              </w:rPr>
              <w:t xml:space="preserve">2022.06</w:t>
            </w:r>
            <w:r/>
          </w:p>
        </w:tc>
      </w:tr>
    </w:tbl>
    <w:p>
      <w:pPr>
        <w:spacing w:lineRule="auto" w:line="360"/>
        <w:rPr>
          <w:rFonts w:hAnsi="楷体_GB2312" w:eastAsia="楷体_GB2312"/>
          <w:b/>
          <w:bCs/>
          <w:sz w:val="22"/>
          <w:szCs w:val="22"/>
        </w:rPr>
      </w:pPr>
      <w:r>
        <w:rPr>
          <w:rFonts w:hAnsi="楷体_GB2312" w:eastAsia="楷体_GB2312"/>
          <w:b/>
          <w:bCs/>
          <w:sz w:val="22"/>
          <w:szCs w:val="22"/>
        </w:rPr>
      </w:r>
      <w:r/>
    </w:p>
    <w:p>
      <w:pPr>
        <w:ind w:firstLine="2168"/>
        <w:spacing w:lineRule="auto" w:line="360"/>
        <w:rPr>
          <w:rFonts w:ascii="Times New Roman" w:hAnsi="Times New Roman" w:cs="Times New Roman" w:eastAsia="楷体_GB2312"/>
          <w:b/>
          <w:bCs/>
          <w:sz w:val="22"/>
          <w:szCs w:val="22"/>
        </w:rPr>
      </w:pPr>
      <w:r>
        <w:rPr>
          <w:rFonts w:ascii="Times New Roman" w:hAnsi="Times New Roman" w:cs="Times New Roman" w:eastAsia="楷体_GB2312"/>
          <w:b/>
          <w:bCs/>
          <w:sz w:val="22"/>
          <w:szCs w:val="22"/>
        </w:rPr>
        <w:t xml:space="preserve">2022</w:t>
      </w:r>
      <w:r>
        <w:rPr>
          <w:rFonts w:ascii="Times New Roman" w:hAnsi="Times New Roman" w:cs="Times New Roman" w:eastAsia="楷体_GB2312"/>
          <w:b/>
          <w:bCs/>
          <w:sz w:val="22"/>
          <w:szCs w:val="22"/>
        </w:rPr>
        <w:t xml:space="preserve">年学生发表研究论文情况</w:t>
      </w:r>
      <w:r/>
    </w:p>
    <w:p>
      <w:pPr>
        <w:jc w:val="left"/>
        <w:spacing w:lineRule="auto" w:line="360"/>
        <w:rPr>
          <w:rFonts w:ascii="黑体" w:hAnsi="黑体" w:cs="仿宋_GB2312" w:eastAsia="黑体"/>
          <w:sz w:val="21"/>
          <w:szCs w:val="21"/>
          <w:highlight w:val="yellow"/>
        </w:rPr>
      </w:pPr>
      <w:r>
        <w:rPr>
          <w:rFonts w:ascii="黑体" w:hAnsi="黑体" w:cs="仿宋_GB2312" w:eastAsia="黑体"/>
          <w:sz w:val="21"/>
          <w:szCs w:val="21"/>
          <w:highlight w:val="yellow"/>
        </w:rPr>
      </w:r>
      <w:r/>
    </w:p>
    <w:p>
      <w:pPr>
        <w:ind w:right="-338" w:firstLine="280"/>
        <w:spacing w:lineRule="auto" w:line="360"/>
        <w:rPr>
          <w:rFonts w:ascii="黑体" w:hAnsi="黑体" w:cs="仿宋_GB2312" w:eastAsia="黑体"/>
          <w:sz w:val="28"/>
          <w:szCs w:val="28"/>
        </w:rPr>
      </w:pPr>
      <w:r>
        <w:rPr>
          <w:rFonts w:ascii="黑体" w:hAnsi="黑体" w:cs="仿宋_GB2312" w:eastAsia="黑体" w:hint="eastAsia"/>
          <w:sz w:val="28"/>
          <w:szCs w:val="28"/>
        </w:rPr>
        <w:t xml:space="preserve">二、人才队伍建设</w:t>
      </w:r>
      <w:r/>
    </w:p>
    <w:p>
      <w:pPr>
        <w:ind w:firstLine="560"/>
        <w:spacing w:lineRule="auto" w:line="360"/>
        <w:rPr>
          <w:rFonts w:ascii="楷体" w:hAnsi="楷体" w:cs="仿宋_GB2312" w:eastAsia="楷体"/>
          <w:sz w:val="28"/>
          <w:szCs w:val="28"/>
        </w:rPr>
      </w:pPr>
      <w:r>
        <w:rPr>
          <w:rFonts w:ascii="楷体" w:hAnsi="楷体" w:cs="仿宋_GB2312" w:eastAsia="楷体" w:hint="eastAsia"/>
          <w:sz w:val="28"/>
          <w:szCs w:val="28"/>
        </w:rPr>
        <w:t xml:space="preserve">（一）队伍建设基本情况。</w:t>
      </w:r>
      <w:r/>
    </w:p>
    <w:p>
      <w:pPr>
        <w:pStyle w:val="400"/>
        <w:ind w:firstLine="480"/>
        <w:spacing w:lineRule="auto" w:line="360"/>
        <w:rPr>
          <w:rFonts w:eastAsia="楷体_GB2312" w:hint="default"/>
          <w:sz w:val="24"/>
          <w:szCs w:val="24"/>
        </w:rPr>
      </w:pPr>
      <w:r>
        <w:rPr>
          <w:rFonts w:eastAsia="楷体_GB2312"/>
          <w:sz w:val="24"/>
          <w:szCs w:val="24"/>
        </w:rPr>
        <w:t xml:space="preserve">截止</w:t>
      </w:r>
      <w:r>
        <w:rPr>
          <w:rFonts w:eastAsia="楷体_GB2312"/>
          <w:sz w:val="24"/>
          <w:szCs w:val="24"/>
        </w:rPr>
        <w:t xml:space="preserve">2022</w:t>
      </w:r>
      <w:r>
        <w:rPr>
          <w:rFonts w:eastAsia="楷体_GB2312"/>
          <w:sz w:val="24"/>
          <w:szCs w:val="24"/>
        </w:rPr>
        <w:t xml:space="preserve">年</w:t>
      </w:r>
      <w:r>
        <w:rPr>
          <w:rFonts w:eastAsia="楷体_GB2312"/>
          <w:sz w:val="24"/>
          <w:szCs w:val="24"/>
        </w:rPr>
        <w:t xml:space="preserve">12</w:t>
      </w:r>
      <w:r>
        <w:rPr>
          <w:rFonts w:eastAsia="楷体_GB2312"/>
          <w:sz w:val="24"/>
          <w:szCs w:val="24"/>
        </w:rPr>
        <w:t xml:space="preserve">月，药学实验教学中心共有教职工</w:t>
      </w:r>
      <w:r>
        <w:rPr>
          <w:rFonts w:eastAsia="楷体_GB2312"/>
          <w:sz w:val="24"/>
          <w:szCs w:val="24"/>
        </w:rPr>
        <w:t xml:space="preserve">106</w:t>
      </w:r>
      <w:r>
        <w:rPr>
          <w:rFonts w:eastAsia="楷体_GB2312"/>
          <w:sz w:val="24"/>
          <w:szCs w:val="24"/>
        </w:rPr>
        <w:t xml:space="preserve">人</w:t>
      </w:r>
      <w:r>
        <w:rPr>
          <w:rFonts w:eastAsia="楷体_GB2312"/>
          <w:sz w:val="24"/>
          <w:szCs w:val="24"/>
        </w:rPr>
        <w:t xml:space="preserve">,</w:t>
      </w:r>
      <w:r>
        <w:rPr>
          <w:rFonts w:eastAsia="楷体_GB2312"/>
          <w:sz w:val="24"/>
          <w:szCs w:val="24"/>
        </w:rPr>
        <w:t xml:space="preserve">专业技术人员中，高级职称占</w:t>
      </w:r>
      <w:r>
        <w:rPr>
          <w:rFonts w:eastAsia="楷体_GB2312"/>
          <w:sz w:val="24"/>
          <w:szCs w:val="24"/>
        </w:rPr>
        <w:t xml:space="preserve">78.3%</w:t>
      </w:r>
      <w:r>
        <w:rPr>
          <w:rFonts w:eastAsia="楷体_GB2312"/>
          <w:sz w:val="24"/>
          <w:szCs w:val="24"/>
        </w:rPr>
        <w:t xml:space="preserve">；博士学位获得者占</w:t>
      </w:r>
      <w:r>
        <w:rPr>
          <w:rFonts w:eastAsia="楷体_GB2312"/>
          <w:sz w:val="24"/>
          <w:szCs w:val="24"/>
        </w:rPr>
        <w:t xml:space="preserve">71.7%</w:t>
      </w:r>
      <w:r>
        <w:rPr>
          <w:rFonts w:eastAsia="楷体_GB2312"/>
          <w:sz w:val="24"/>
          <w:szCs w:val="24"/>
        </w:rPr>
        <w:t xml:space="preserve">。药学院紧紧围绕人才培养目标，建立了一支整体结构较为合理、发展趋势良好的师资队伍，具有高学历、年轻化的人才优势。同时引进学术带头人和学术骨干，以提升学科师资队伍整体水平。</w:t>
      </w:r>
      <w:r>
        <w:rPr>
          <w:rFonts w:eastAsia="楷体_GB2312"/>
          <w:sz w:val="24"/>
          <w:szCs w:val="24"/>
        </w:rPr>
        <w:t xml:space="preserve">  </w:t>
      </w:r>
      <w:r/>
    </w:p>
    <w:p>
      <w:pPr>
        <w:ind w:firstLine="2160"/>
        <w:spacing w:lineRule="auto" w:line="360"/>
        <w:rPr>
          <w:rFonts w:eastAsia="楷体_GB2312"/>
          <w:sz w:val="22"/>
          <w:szCs w:val="22"/>
        </w:rPr>
      </w:pPr>
      <w:r>
        <w:rPr>
          <w:rFonts w:eastAsia="楷体_GB2312"/>
          <w:sz w:val="22"/>
          <w:szCs w:val="22"/>
        </w:rPr>
      </w:r>
      <w:r/>
    </w:p>
    <w:p>
      <w:pPr>
        <w:ind w:firstLine="2160"/>
        <w:spacing w:lineRule="auto" w:line="360"/>
        <w:rPr>
          <w:rFonts w:eastAsia="楷体_GB2312"/>
          <w:sz w:val="22"/>
          <w:szCs w:val="22"/>
        </w:rPr>
      </w:pPr>
      <w:r>
        <w:rPr>
          <w:rFonts w:eastAsia="楷体_GB2312"/>
          <w:sz w:val="22"/>
          <w:szCs w:val="22"/>
        </w:rPr>
      </w:r>
      <w:r/>
    </w:p>
    <w:p>
      <w:pPr>
        <w:ind w:firstLine="2168"/>
        <w:spacing w:lineRule="auto" w:line="360"/>
        <w:rPr>
          <w:rFonts w:eastAsia="楷体_GB2312"/>
          <w:b/>
          <w:bCs/>
          <w:sz w:val="22"/>
          <w:szCs w:val="22"/>
        </w:rPr>
      </w:pPr>
      <w:r>
        <w:rPr>
          <w:rFonts w:eastAsia="楷体_GB2312"/>
          <w:b/>
          <w:bCs/>
          <w:sz w:val="22"/>
          <w:szCs w:val="22"/>
        </w:rPr>
      </w:r>
      <w:r/>
    </w:p>
    <w:p>
      <w:pPr>
        <w:ind w:firstLine="2168"/>
        <w:spacing w:lineRule="auto" w:line="360"/>
        <w:rPr>
          <w:rFonts w:eastAsia="楷体_GB2312"/>
          <w:b/>
          <w:bCs/>
        </w:rPr>
      </w:pPr>
      <w:r>
        <w:rPr>
          <w:rFonts w:eastAsia="楷体_GB2312" w:hint="eastAsia"/>
          <w:b/>
          <w:bCs/>
          <w:sz w:val="22"/>
          <w:szCs w:val="22"/>
        </w:rPr>
        <w:t xml:space="preserve">中心师资队数量和结构表</w:t>
      </w:r>
      <w:r/>
    </w:p>
    <w:tbl>
      <w:tblPr>
        <w:tblW w:w="9663" w:type="dxa"/>
        <w:jc w:val="center"/>
        <w:tblLayout w:type="fixed"/>
        <w:tblCellMar>
          <w:left w:w="0" w:type="dxa"/>
          <w:right w:w="0" w:type="dxa"/>
        </w:tblCellMar>
        <w:tblLook w:val="04A0" w:firstRow="1" w:lastRow="0" w:firstColumn="1" w:lastColumn="0" w:noHBand="0" w:noVBand="1"/>
      </w:tblPr>
      <w:tblGrid>
        <w:gridCol w:w="1100"/>
        <w:gridCol w:w="765"/>
        <w:gridCol w:w="926"/>
        <w:gridCol w:w="928"/>
        <w:gridCol w:w="800"/>
        <w:gridCol w:w="929"/>
        <w:gridCol w:w="926"/>
        <w:gridCol w:w="1048"/>
        <w:gridCol w:w="932"/>
        <w:gridCol w:w="1309"/>
      </w:tblGrid>
      <w:tr>
        <w:trPr>
          <w:jc w:val="center"/>
          <w:trHeight w:val="534"/>
        </w:trPr>
        <w:tc>
          <w:tcPr>
            <w:tcBorders>
              <w:left w:val="single" w:sz="6" w:space="0" w:color="auto"/>
              <w:top w:val="single" w:sz="6" w:space="0" w:color="auto"/>
              <w:right w:val="single" w:sz="6" w:space="0" w:color="auto"/>
              <w:bottom w:val="single" w:sz="6" w:space="0" w:color="auto"/>
            </w:tcBorders>
            <w:tcW w:w="1100" w:type="dxa"/>
            <w:vAlign w:val="center"/>
            <w:vMerge w:val="restart"/>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b/>
                <w:bCs/>
                <w:sz w:val="21"/>
                <w:szCs w:val="21"/>
              </w:rPr>
            </w:r>
            <w:r/>
          </w:p>
        </w:tc>
        <w:tc>
          <w:tcPr>
            <w:tcBorders>
              <w:left w:val="none" w:color="000000" w:sz="4" w:space="0"/>
              <w:top w:val="single" w:sz="6" w:space="0" w:color="auto"/>
              <w:right w:val="single" w:sz="6" w:space="0" w:color="auto"/>
              <w:bottom w:val="single" w:sz="6" w:space="0" w:color="auto"/>
            </w:tcBorders>
            <w:tcW w:w="765" w:type="dxa"/>
            <w:vAlign w:val="center"/>
            <w:vMerge w:val="restart"/>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总数</w:t>
            </w:r>
            <w:r/>
          </w:p>
        </w:tc>
        <w:tc>
          <w:tcPr>
            <w:gridSpan w:val="3"/>
            <w:tcBorders>
              <w:left w:val="none" w:color="000000" w:sz="4" w:space="0"/>
              <w:top w:val="single" w:sz="6" w:space="0" w:color="auto"/>
              <w:right w:val="single" w:sz="6" w:space="0" w:color="auto"/>
              <w:bottom w:val="single" w:sz="6" w:space="0" w:color="auto"/>
            </w:tcBorders>
            <w:tcW w:w="2654" w:type="dxa"/>
            <w:vAlign w:val="center"/>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学  位</w:t>
            </w:r>
            <w:r/>
          </w:p>
        </w:tc>
        <w:tc>
          <w:tcPr>
            <w:gridSpan w:val="3"/>
            <w:tcBorders>
              <w:left w:val="none" w:color="000000" w:sz="4" w:space="0"/>
              <w:top w:val="single" w:sz="6" w:space="0" w:color="auto"/>
              <w:right w:val="single" w:sz="6" w:space="0" w:color="auto"/>
              <w:bottom w:val="single" w:sz="6" w:space="0" w:color="auto"/>
            </w:tcBorders>
            <w:tcW w:w="2903" w:type="dxa"/>
            <w:vAlign w:val="center"/>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职  称</w:t>
            </w:r>
            <w:r/>
          </w:p>
        </w:tc>
        <w:tc>
          <w:tcPr>
            <w:gridSpan w:val="2"/>
            <w:tcBorders>
              <w:left w:val="none" w:color="000000" w:sz="4" w:space="0"/>
              <w:top w:val="single" w:sz="6" w:space="0" w:color="auto"/>
              <w:right w:val="single" w:sz="4" w:space="0" w:color="auto"/>
              <w:bottom w:val="single" w:sz="6" w:space="0" w:color="auto"/>
            </w:tcBorders>
            <w:tcW w:w="2241" w:type="dxa"/>
            <w:vAlign w:val="center"/>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导师</w:t>
            </w:r>
            <w:r/>
          </w:p>
        </w:tc>
      </w:tr>
      <w:tr>
        <w:trPr>
          <w:jc w:val="center"/>
          <w:trHeight w:val="534"/>
        </w:trPr>
        <w:tc>
          <w:tcPr>
            <w:tcBorders>
              <w:left w:val="single" w:sz="6" w:space="0" w:color="auto"/>
              <w:top w:val="single" w:sz="6" w:space="0" w:color="auto"/>
              <w:right w:val="single" w:sz="6" w:space="0" w:color="auto"/>
              <w:bottom w:val="single" w:sz="6" w:space="0" w:color="auto"/>
            </w:tcBorders>
            <w:tcW w:w="1100" w:type="dxa"/>
            <w:vAlign w:val="center"/>
            <w:vMerge w:val="continue"/>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b/>
                <w:bCs/>
                <w:sz w:val="21"/>
                <w:szCs w:val="21"/>
              </w:rPr>
            </w:r>
            <w:r/>
          </w:p>
        </w:tc>
        <w:tc>
          <w:tcPr>
            <w:tcBorders>
              <w:left w:val="none" w:color="000000" w:sz="4" w:space="0"/>
              <w:top w:val="single" w:sz="6" w:space="0" w:color="auto"/>
              <w:right w:val="single" w:sz="6" w:space="0" w:color="auto"/>
              <w:bottom w:val="single" w:sz="6" w:space="0" w:color="auto"/>
            </w:tcBorders>
            <w:tcW w:w="765" w:type="dxa"/>
            <w:vAlign w:val="center"/>
            <w:vMerge w:val="continue"/>
            <w:textDirection w:val="lrTb"/>
            <w:noWrap w:val="false"/>
          </w:tcPr>
          <w:p>
            <w:pPr>
              <w:ind w:firstLine="480"/>
              <w:jc w:val="center"/>
              <w:spacing w:lineRule="auto" w:line="360"/>
              <w:rPr>
                <w:rFonts w:ascii="楷体" w:hAnsi="楷体" w:cs="楷体" w:eastAsia="楷体"/>
                <w:b/>
                <w:bCs/>
                <w:sz w:val="21"/>
                <w:szCs w:val="21"/>
              </w:rPr>
            </w:pPr>
            <w:r>
              <w:rPr>
                <w:rFonts w:ascii="楷体" w:hAnsi="楷体" w:cs="楷体" w:eastAsia="楷体"/>
                <w:b/>
                <w:bCs/>
                <w:sz w:val="21"/>
                <w:szCs w:val="21"/>
              </w:rPr>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博士</w:t>
            </w:r>
            <w:r/>
          </w:p>
        </w:tc>
        <w:tc>
          <w:tcPr>
            <w:tcBorders>
              <w:left w:val="none" w:color="000000" w:sz="4" w:space="0"/>
              <w:top w:val="single" w:sz="6" w:space="0" w:color="auto"/>
              <w:right w:val="single" w:sz="6" w:space="0" w:color="auto"/>
              <w:bottom w:val="single" w:sz="6" w:space="0" w:color="auto"/>
            </w:tcBorders>
            <w:tcW w:w="928"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硕士</w:t>
            </w:r>
            <w:r/>
          </w:p>
        </w:tc>
        <w:tc>
          <w:tcPr>
            <w:tcBorders>
              <w:left w:val="none" w:color="000000" w:sz="4" w:space="0"/>
              <w:top w:val="single" w:sz="6" w:space="0" w:color="auto"/>
              <w:right w:val="single" w:sz="6" w:space="0" w:color="auto"/>
              <w:bottom w:val="single" w:sz="6" w:space="0" w:color="auto"/>
            </w:tcBorders>
            <w:tcW w:w="800"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学士</w:t>
            </w:r>
            <w:r/>
          </w:p>
        </w:tc>
        <w:tc>
          <w:tcPr>
            <w:tcBorders>
              <w:left w:val="none" w:color="000000" w:sz="4" w:space="0"/>
              <w:top w:val="single" w:sz="6" w:space="0" w:color="auto"/>
              <w:right w:val="single" w:sz="6" w:space="0" w:color="auto"/>
              <w:bottom w:val="single" w:sz="6" w:space="0" w:color="auto"/>
            </w:tcBorders>
            <w:tcW w:w="929"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教授</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副教授</w:t>
            </w:r>
            <w:r/>
          </w:p>
        </w:tc>
        <w:tc>
          <w:tcPr>
            <w:tcBorders>
              <w:left w:val="none" w:color="000000" w:sz="4" w:space="0"/>
              <w:top w:val="single" w:sz="6" w:space="0" w:color="auto"/>
              <w:right w:val="single" w:sz="6" w:space="0" w:color="auto"/>
              <w:bottom w:val="single" w:sz="6" w:space="0" w:color="auto"/>
            </w:tcBorders>
            <w:tcW w:w="1048"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讲师</w:t>
            </w:r>
            <w:r/>
          </w:p>
        </w:tc>
        <w:tc>
          <w:tcPr>
            <w:tcBorders>
              <w:left w:val="none" w:color="000000" w:sz="4" w:space="0"/>
              <w:top w:val="single" w:sz="6" w:space="0" w:color="auto"/>
              <w:right w:val="single" w:sz="6" w:space="0" w:color="auto"/>
              <w:bottom w:val="single" w:sz="6" w:space="0" w:color="auto"/>
            </w:tcBorders>
            <w:tcW w:w="932"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博导</w:t>
            </w:r>
            <w:r/>
          </w:p>
        </w:tc>
        <w:tc>
          <w:tcPr>
            <w:tcBorders>
              <w:left w:val="none" w:color="000000" w:sz="4" w:space="0"/>
              <w:top w:val="single" w:sz="6" w:space="0" w:color="auto"/>
              <w:right w:val="single" w:sz="4" w:space="0" w:color="auto"/>
              <w:bottom w:val="single" w:sz="6" w:space="0" w:color="auto"/>
            </w:tcBorders>
            <w:tcW w:w="1309"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硕导</w:t>
            </w:r>
            <w:r/>
          </w:p>
        </w:tc>
      </w:tr>
      <w:tr>
        <w:trPr>
          <w:jc w:val="center"/>
          <w:trHeight w:val="534"/>
        </w:trPr>
        <w:tc>
          <w:tcPr>
            <w:tcBorders>
              <w:left w:val="single" w:sz="6" w:space="0" w:color="auto"/>
              <w:top w:val="single" w:sz="6" w:space="0" w:color="auto"/>
              <w:right w:val="single" w:sz="6" w:space="0" w:color="auto"/>
              <w:bottom w:val="single" w:sz="6" w:space="0" w:color="auto"/>
            </w:tcBorders>
            <w:tcW w:w="11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55岁以上</w:t>
            </w:r>
            <w:r/>
          </w:p>
        </w:tc>
        <w:tc>
          <w:tcPr>
            <w:tcBorders>
              <w:left w:val="none" w:color="000000" w:sz="4" w:space="0"/>
              <w:top w:val="single" w:sz="6" w:space="0" w:color="auto"/>
              <w:right w:val="single" w:sz="6" w:space="0" w:color="auto"/>
              <w:bottom w:val="single" w:sz="6" w:space="0" w:color="auto"/>
            </w:tcBorders>
            <w:tcW w:w="765"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13</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7</w:t>
            </w:r>
            <w:r/>
          </w:p>
        </w:tc>
        <w:tc>
          <w:tcPr>
            <w:tcBorders>
              <w:left w:val="none" w:color="000000" w:sz="4" w:space="0"/>
              <w:top w:val="single" w:sz="6" w:space="0" w:color="auto"/>
              <w:right w:val="single" w:sz="6" w:space="0" w:color="auto"/>
              <w:bottom w:val="single" w:sz="6" w:space="0" w:color="auto"/>
            </w:tcBorders>
            <w:tcW w:w="92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4</w:t>
            </w:r>
            <w:r/>
          </w:p>
        </w:tc>
        <w:tc>
          <w:tcPr>
            <w:tcBorders>
              <w:left w:val="none" w:color="000000" w:sz="4" w:space="0"/>
              <w:top w:val="single" w:sz="6" w:space="0" w:color="auto"/>
              <w:right w:val="single" w:sz="6" w:space="0" w:color="auto"/>
              <w:bottom w:val="single" w:sz="6" w:space="0" w:color="auto"/>
            </w:tcBorders>
            <w:tcW w:w="8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w:t>
            </w:r>
            <w:r/>
          </w:p>
        </w:tc>
        <w:tc>
          <w:tcPr>
            <w:tcBorders>
              <w:left w:val="none" w:color="000000" w:sz="4" w:space="0"/>
              <w:top w:val="single" w:sz="6" w:space="0" w:color="auto"/>
              <w:right w:val="single" w:sz="6" w:space="0" w:color="auto"/>
              <w:bottom w:val="single" w:sz="6" w:space="0" w:color="auto"/>
            </w:tcBorders>
            <w:tcW w:w="92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11</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w:t>
            </w:r>
            <w:r/>
          </w:p>
        </w:tc>
        <w:tc>
          <w:tcPr>
            <w:tcBorders>
              <w:left w:val="none" w:color="000000" w:sz="4" w:space="0"/>
              <w:top w:val="single" w:sz="6" w:space="0" w:color="auto"/>
              <w:right w:val="single" w:sz="6" w:space="0" w:color="auto"/>
              <w:bottom w:val="single" w:sz="6" w:space="0" w:color="auto"/>
            </w:tcBorders>
            <w:tcW w:w="104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0</w:t>
            </w:r>
            <w:r/>
          </w:p>
        </w:tc>
        <w:tc>
          <w:tcPr>
            <w:tcBorders>
              <w:left w:val="none" w:color="000000" w:sz="4" w:space="0"/>
              <w:top w:val="single" w:sz="6" w:space="0" w:color="auto"/>
              <w:right w:val="single" w:sz="6" w:space="0" w:color="auto"/>
              <w:bottom w:val="single" w:sz="6" w:space="0" w:color="auto"/>
            </w:tcBorders>
            <w:tcW w:w="932"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5</w:t>
            </w:r>
            <w:r/>
          </w:p>
        </w:tc>
        <w:tc>
          <w:tcPr>
            <w:tcBorders>
              <w:left w:val="none" w:color="000000" w:sz="4" w:space="0"/>
              <w:top w:val="single" w:sz="6" w:space="0" w:color="auto"/>
              <w:right w:val="single" w:sz="6" w:space="0" w:color="auto"/>
              <w:bottom w:val="single" w:sz="6" w:space="0" w:color="auto"/>
            </w:tcBorders>
            <w:tcW w:w="130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6</w:t>
            </w:r>
            <w:r/>
          </w:p>
        </w:tc>
      </w:tr>
      <w:tr>
        <w:trPr>
          <w:jc w:val="center"/>
          <w:trHeight w:val="534"/>
        </w:trPr>
        <w:tc>
          <w:tcPr>
            <w:tcBorders>
              <w:left w:val="single" w:sz="6" w:space="0" w:color="auto"/>
              <w:top w:val="single" w:sz="6" w:space="0" w:color="auto"/>
              <w:right w:val="single" w:sz="6" w:space="0" w:color="auto"/>
              <w:bottom w:val="single" w:sz="6" w:space="0" w:color="auto"/>
            </w:tcBorders>
            <w:tcW w:w="11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40-55</w:t>
            </w:r>
            <w:r/>
          </w:p>
        </w:tc>
        <w:tc>
          <w:tcPr>
            <w:tcBorders>
              <w:left w:val="none" w:color="000000" w:sz="4" w:space="0"/>
              <w:top w:val="single" w:sz="6" w:space="0" w:color="auto"/>
              <w:right w:val="single" w:sz="6" w:space="0" w:color="auto"/>
              <w:bottom w:val="single" w:sz="6" w:space="0" w:color="auto"/>
            </w:tcBorders>
            <w:tcW w:w="765"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57</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33</w:t>
            </w:r>
            <w:r/>
          </w:p>
        </w:tc>
        <w:tc>
          <w:tcPr>
            <w:tcBorders>
              <w:left w:val="none" w:color="000000" w:sz="4" w:space="0"/>
              <w:top w:val="single" w:sz="6" w:space="0" w:color="auto"/>
              <w:right w:val="single" w:sz="6" w:space="0" w:color="auto"/>
              <w:bottom w:val="single" w:sz="6" w:space="0" w:color="auto"/>
            </w:tcBorders>
            <w:tcW w:w="92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21</w:t>
            </w:r>
            <w:r/>
          </w:p>
        </w:tc>
        <w:tc>
          <w:tcPr>
            <w:tcBorders>
              <w:left w:val="none" w:color="000000" w:sz="4" w:space="0"/>
              <w:top w:val="single" w:sz="6" w:space="0" w:color="auto"/>
              <w:right w:val="single" w:sz="6" w:space="0" w:color="auto"/>
              <w:bottom w:val="single" w:sz="6" w:space="0" w:color="auto"/>
            </w:tcBorders>
            <w:tcW w:w="8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w:t>
            </w:r>
            <w:r/>
          </w:p>
        </w:tc>
        <w:tc>
          <w:tcPr>
            <w:tcBorders>
              <w:left w:val="none" w:color="000000" w:sz="4" w:space="0"/>
              <w:top w:val="single" w:sz="6" w:space="0" w:color="auto"/>
              <w:right w:val="single" w:sz="6" w:space="0" w:color="auto"/>
              <w:bottom w:val="single" w:sz="6" w:space="0" w:color="auto"/>
            </w:tcBorders>
            <w:tcW w:w="92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16</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26</w:t>
            </w:r>
            <w:r/>
          </w:p>
        </w:tc>
        <w:tc>
          <w:tcPr>
            <w:tcBorders>
              <w:left w:val="none" w:color="000000" w:sz="4" w:space="0"/>
              <w:top w:val="single" w:sz="6" w:space="0" w:color="auto"/>
              <w:right w:val="single" w:sz="6" w:space="0" w:color="auto"/>
              <w:bottom w:val="single" w:sz="6" w:space="0" w:color="auto"/>
            </w:tcBorders>
            <w:tcW w:w="104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12</w:t>
            </w:r>
            <w:r/>
          </w:p>
        </w:tc>
        <w:tc>
          <w:tcPr>
            <w:tcBorders>
              <w:left w:val="none" w:color="000000" w:sz="4" w:space="0"/>
              <w:top w:val="single" w:sz="6" w:space="0" w:color="auto"/>
              <w:right w:val="single" w:sz="6" w:space="0" w:color="auto"/>
              <w:bottom w:val="single" w:sz="6" w:space="0" w:color="auto"/>
            </w:tcBorders>
            <w:tcW w:w="932"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6</w:t>
            </w:r>
            <w:r/>
          </w:p>
        </w:tc>
        <w:tc>
          <w:tcPr>
            <w:tcBorders>
              <w:left w:val="none" w:color="000000" w:sz="4" w:space="0"/>
              <w:top w:val="single" w:sz="6" w:space="0" w:color="auto"/>
              <w:right w:val="single" w:sz="6" w:space="0" w:color="auto"/>
              <w:bottom w:val="single" w:sz="6" w:space="0" w:color="auto"/>
            </w:tcBorders>
            <w:tcW w:w="130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32</w:t>
            </w:r>
            <w:r/>
          </w:p>
        </w:tc>
      </w:tr>
      <w:tr>
        <w:trPr>
          <w:jc w:val="center"/>
          <w:trHeight w:val="534"/>
        </w:trPr>
        <w:tc>
          <w:tcPr>
            <w:tcBorders>
              <w:left w:val="single" w:sz="6" w:space="0" w:color="auto"/>
              <w:top w:val="single" w:sz="6" w:space="0" w:color="auto"/>
              <w:right w:val="single" w:sz="6" w:space="0" w:color="auto"/>
              <w:bottom w:val="single" w:sz="6" w:space="0" w:color="auto"/>
            </w:tcBorders>
            <w:tcW w:w="11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40岁以下</w:t>
            </w:r>
            <w:r/>
          </w:p>
        </w:tc>
        <w:tc>
          <w:tcPr>
            <w:tcBorders>
              <w:left w:val="none" w:color="000000" w:sz="4" w:space="0"/>
              <w:top w:val="single" w:sz="6" w:space="0" w:color="auto"/>
              <w:right w:val="single" w:sz="6" w:space="0" w:color="auto"/>
              <w:bottom w:val="single" w:sz="6" w:space="0" w:color="auto"/>
            </w:tcBorders>
            <w:tcW w:w="765"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36</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36</w:t>
            </w:r>
            <w:r/>
          </w:p>
        </w:tc>
        <w:tc>
          <w:tcPr>
            <w:tcBorders>
              <w:left w:val="none" w:color="000000" w:sz="4" w:space="0"/>
              <w:top w:val="single" w:sz="6" w:space="0" w:color="auto"/>
              <w:right w:val="single" w:sz="6" w:space="0" w:color="auto"/>
              <w:bottom w:val="single" w:sz="6" w:space="0" w:color="auto"/>
            </w:tcBorders>
            <w:tcW w:w="92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0</w:t>
            </w:r>
            <w:r/>
          </w:p>
        </w:tc>
        <w:tc>
          <w:tcPr>
            <w:tcBorders>
              <w:left w:val="none" w:color="000000" w:sz="4" w:space="0"/>
              <w:top w:val="single" w:sz="6" w:space="0" w:color="auto"/>
              <w:right w:val="single" w:sz="6" w:space="0" w:color="auto"/>
              <w:bottom w:val="single" w:sz="6" w:space="0" w:color="auto"/>
            </w:tcBorders>
            <w:tcW w:w="8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0</w:t>
            </w:r>
            <w:r/>
          </w:p>
        </w:tc>
        <w:tc>
          <w:tcPr>
            <w:tcBorders>
              <w:left w:val="none" w:color="000000" w:sz="4" w:space="0"/>
              <w:top w:val="single" w:sz="6" w:space="0" w:color="auto"/>
              <w:right w:val="single" w:sz="6" w:space="0" w:color="auto"/>
              <w:bottom w:val="single" w:sz="6" w:space="0" w:color="auto"/>
            </w:tcBorders>
            <w:tcW w:w="92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w:t>
            </w:r>
            <w:r/>
          </w:p>
        </w:tc>
        <w:tc>
          <w:tcPr>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25</w:t>
            </w:r>
            <w:r/>
          </w:p>
        </w:tc>
        <w:tc>
          <w:tcPr>
            <w:tcBorders>
              <w:left w:val="none" w:color="000000" w:sz="4" w:space="0"/>
              <w:top w:val="single" w:sz="6" w:space="0" w:color="auto"/>
              <w:right w:val="single" w:sz="6" w:space="0" w:color="auto"/>
              <w:bottom w:val="single" w:sz="6" w:space="0" w:color="auto"/>
            </w:tcBorders>
            <w:tcW w:w="104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11</w:t>
            </w:r>
            <w:r/>
          </w:p>
        </w:tc>
        <w:tc>
          <w:tcPr>
            <w:tcBorders>
              <w:left w:val="none" w:color="000000" w:sz="4" w:space="0"/>
              <w:top w:val="single" w:sz="6" w:space="0" w:color="auto"/>
              <w:right w:val="single" w:sz="6" w:space="0" w:color="auto"/>
              <w:bottom w:val="single" w:sz="6" w:space="0" w:color="auto"/>
            </w:tcBorders>
            <w:tcW w:w="932"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4</w:t>
            </w:r>
            <w:r/>
          </w:p>
        </w:tc>
        <w:tc>
          <w:tcPr>
            <w:tcBorders>
              <w:left w:val="none" w:color="000000" w:sz="4" w:space="0"/>
              <w:top w:val="single" w:sz="6" w:space="0" w:color="auto"/>
              <w:right w:val="single" w:sz="6" w:space="0" w:color="auto"/>
              <w:bottom w:val="single" w:sz="6" w:space="0" w:color="auto"/>
            </w:tcBorders>
            <w:tcW w:w="130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26</w:t>
            </w:r>
            <w:r/>
          </w:p>
        </w:tc>
      </w:tr>
      <w:tr>
        <w:trPr>
          <w:jc w:val="center"/>
          <w:trHeight w:val="534"/>
        </w:trPr>
        <w:tc>
          <w:tcPr>
            <w:shd w:val="clear" w:color="auto" w:fill="auto"/>
            <w:tcBorders>
              <w:left w:val="single" w:sz="6" w:space="0" w:color="auto"/>
              <w:top w:val="single" w:sz="6" w:space="0" w:color="auto"/>
              <w:right w:val="single" w:sz="6" w:space="0" w:color="auto"/>
              <w:bottom w:val="single" w:sz="6" w:space="0" w:color="auto"/>
            </w:tcBorders>
            <w:tcW w:w="11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合计</w:t>
            </w:r>
            <w:r/>
          </w:p>
        </w:tc>
        <w:tc>
          <w:tcPr>
            <w:shd w:val="clear" w:color="auto" w:fill="auto"/>
            <w:tcBorders>
              <w:left w:val="none" w:color="000000" w:sz="4" w:space="0"/>
              <w:top w:val="single" w:sz="6" w:space="0" w:color="auto"/>
              <w:right w:val="single" w:sz="6" w:space="0" w:color="auto"/>
              <w:bottom w:val="single" w:sz="6" w:space="0" w:color="auto"/>
            </w:tcBorders>
            <w:tcW w:w="765"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106</w:t>
            </w:r>
            <w:r/>
          </w:p>
        </w:tc>
        <w:tc>
          <w:tcPr>
            <w:shd w:val="clear" w:color="auto" w:fill="auto"/>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76</w:t>
            </w:r>
            <w:r/>
          </w:p>
        </w:tc>
        <w:tc>
          <w:tcPr>
            <w:shd w:val="clear" w:color="auto" w:fill="auto"/>
            <w:tcBorders>
              <w:left w:val="none" w:color="000000" w:sz="4" w:space="0"/>
              <w:top w:val="single" w:sz="6" w:space="0" w:color="auto"/>
              <w:right w:val="single" w:sz="6" w:space="0" w:color="auto"/>
              <w:bottom w:val="single" w:sz="6" w:space="0" w:color="auto"/>
            </w:tcBorders>
            <w:tcW w:w="92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25</w:t>
            </w:r>
            <w:r/>
          </w:p>
        </w:tc>
        <w:tc>
          <w:tcPr>
            <w:shd w:val="clear" w:color="auto" w:fill="auto"/>
            <w:tcBorders>
              <w:left w:val="none" w:color="000000" w:sz="4" w:space="0"/>
              <w:top w:val="single" w:sz="6" w:space="0" w:color="auto"/>
              <w:right w:val="single" w:sz="6" w:space="0" w:color="auto"/>
              <w:bottom w:val="single" w:sz="6" w:space="0" w:color="auto"/>
            </w:tcBorders>
            <w:tcW w:w="800"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5</w:t>
            </w:r>
            <w:r/>
          </w:p>
        </w:tc>
        <w:tc>
          <w:tcPr>
            <w:shd w:val="clear" w:color="auto" w:fill="auto"/>
            <w:tcBorders>
              <w:left w:val="none" w:color="000000" w:sz="4" w:space="0"/>
              <w:top w:val="single" w:sz="6" w:space="0" w:color="auto"/>
              <w:right w:val="single" w:sz="6" w:space="0" w:color="auto"/>
              <w:bottom w:val="single" w:sz="6" w:space="0" w:color="auto"/>
            </w:tcBorders>
            <w:tcW w:w="92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30</w:t>
            </w:r>
            <w:r/>
          </w:p>
        </w:tc>
        <w:tc>
          <w:tcPr>
            <w:shd w:val="clear" w:color="auto" w:fill="auto"/>
            <w:tcBorders>
              <w:left w:val="none" w:color="000000" w:sz="4" w:space="0"/>
              <w:top w:val="single" w:sz="6" w:space="0" w:color="auto"/>
              <w:right w:val="single" w:sz="6" w:space="0" w:color="auto"/>
              <w:bottom w:val="single" w:sz="6" w:space="0" w:color="auto"/>
            </w:tcBorders>
            <w:tcW w:w="926"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53</w:t>
            </w:r>
            <w:r/>
          </w:p>
        </w:tc>
        <w:tc>
          <w:tcPr>
            <w:shd w:val="clear" w:color="auto" w:fill="auto"/>
            <w:tcBorders>
              <w:left w:val="none" w:color="000000" w:sz="4" w:space="0"/>
              <w:top w:val="single" w:sz="6" w:space="0" w:color="auto"/>
              <w:right w:val="single" w:sz="6" w:space="0" w:color="auto"/>
              <w:bottom w:val="single" w:sz="6" w:space="0" w:color="auto"/>
            </w:tcBorders>
            <w:tcW w:w="1048"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23</w:t>
            </w:r>
            <w:r/>
          </w:p>
        </w:tc>
        <w:tc>
          <w:tcPr>
            <w:shd w:val="clear" w:color="auto" w:fill="auto"/>
            <w:tcBorders>
              <w:left w:val="none" w:color="000000" w:sz="4" w:space="0"/>
              <w:top w:val="single" w:sz="6" w:space="0" w:color="auto"/>
              <w:right w:val="single" w:sz="6" w:space="0" w:color="auto"/>
              <w:bottom w:val="single" w:sz="6" w:space="0" w:color="auto"/>
            </w:tcBorders>
            <w:tcW w:w="932"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15</w:t>
            </w:r>
            <w:r/>
          </w:p>
        </w:tc>
        <w:tc>
          <w:tcPr>
            <w:shd w:val="clear" w:color="auto" w:fill="auto"/>
            <w:tcBorders>
              <w:left w:val="none" w:color="000000" w:sz="4" w:space="0"/>
              <w:top w:val="single" w:sz="6" w:space="0" w:color="auto"/>
              <w:right w:val="single" w:sz="6" w:space="0" w:color="auto"/>
              <w:bottom w:val="single" w:sz="6" w:space="0" w:color="auto"/>
            </w:tcBorders>
            <w:tcW w:w="1309" w:type="dxa"/>
            <w:vAlign w:val="center"/>
            <w:textDirection w:val="lrTb"/>
            <w:noWrap w:val="false"/>
          </w:tcPr>
          <w:p>
            <w:pPr>
              <w:jc w:val="center"/>
              <w:spacing w:lineRule="auto" w:line="360"/>
              <w:rPr>
                <w:rFonts w:ascii="楷体" w:hAnsi="楷体" w:cs="楷体" w:eastAsia="楷体"/>
                <w:sz w:val="21"/>
                <w:szCs w:val="21"/>
              </w:rPr>
            </w:pPr>
            <w:r>
              <w:rPr>
                <w:rFonts w:ascii="楷体" w:hAnsi="楷体" w:cs="楷体" w:eastAsia="楷体" w:hint="eastAsia"/>
                <w:sz w:val="21"/>
                <w:szCs w:val="21"/>
              </w:rPr>
              <w:t xml:space="preserve">64</w:t>
            </w:r>
            <w:r/>
          </w:p>
        </w:tc>
      </w:tr>
      <w:tr>
        <w:trPr>
          <w:jc w:val="center"/>
          <w:trHeight w:val="569"/>
        </w:trPr>
        <w:tc>
          <w:tcPr>
            <w:tcBorders>
              <w:left w:val="single" w:sz="6" w:space="0" w:color="auto"/>
              <w:top w:val="single" w:sz="6" w:space="0" w:color="auto"/>
              <w:right w:val="single" w:sz="6" w:space="0" w:color="auto"/>
              <w:bottom w:val="single" w:sz="6" w:space="0" w:color="auto"/>
            </w:tcBorders>
            <w:tcW w:w="1100"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占比</w:t>
            </w:r>
            <w:r/>
          </w:p>
        </w:tc>
        <w:tc>
          <w:tcPr>
            <w:tcBorders>
              <w:left w:val="none" w:color="000000" w:sz="4" w:space="0"/>
              <w:top w:val="single" w:sz="6" w:space="0" w:color="auto"/>
              <w:right w:val="single" w:sz="6" w:space="0" w:color="auto"/>
              <w:bottom w:val="single" w:sz="6" w:space="0" w:color="auto"/>
            </w:tcBorders>
            <w:tcW w:w="765" w:type="dxa"/>
            <w:vAlign w:val="center"/>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b/>
                <w:bCs/>
                <w:sz w:val="21"/>
                <w:szCs w:val="21"/>
              </w:rPr>
            </w:r>
            <w:r/>
          </w:p>
        </w:tc>
        <w:tc>
          <w:tcPr>
            <w:tcBorders>
              <w:left w:val="none" w:color="000000" w:sz="4" w:space="0"/>
              <w:top w:val="single" w:sz="6" w:space="0" w:color="auto"/>
              <w:right w:val="single" w:sz="6" w:space="0" w:color="auto"/>
              <w:bottom w:val="single" w:sz="6" w:space="0" w:color="auto"/>
            </w:tcBorders>
            <w:tcW w:w="926"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71.7%</w:t>
            </w:r>
            <w:r/>
          </w:p>
        </w:tc>
        <w:tc>
          <w:tcPr>
            <w:tcBorders>
              <w:left w:val="none" w:color="000000" w:sz="4" w:space="0"/>
              <w:top w:val="single" w:sz="6" w:space="0" w:color="auto"/>
              <w:right w:val="single" w:sz="6" w:space="0" w:color="auto"/>
              <w:bottom w:val="single" w:sz="6" w:space="0" w:color="auto"/>
            </w:tcBorders>
            <w:tcW w:w="928"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23.6%</w:t>
            </w:r>
            <w:r/>
          </w:p>
        </w:tc>
        <w:tc>
          <w:tcPr>
            <w:tcBorders>
              <w:left w:val="none" w:color="000000" w:sz="4" w:space="0"/>
              <w:top w:val="single" w:sz="6" w:space="0" w:color="auto"/>
              <w:right w:val="single" w:sz="6" w:space="0" w:color="auto"/>
              <w:bottom w:val="single" w:sz="6" w:space="0" w:color="auto"/>
            </w:tcBorders>
            <w:tcW w:w="800"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4.7%</w:t>
            </w:r>
            <w:r/>
          </w:p>
        </w:tc>
        <w:tc>
          <w:tcPr>
            <w:tcBorders>
              <w:left w:val="none" w:color="000000" w:sz="4" w:space="0"/>
              <w:top w:val="single" w:sz="6" w:space="0" w:color="auto"/>
              <w:right w:val="single" w:sz="6" w:space="0" w:color="auto"/>
              <w:bottom w:val="single" w:sz="6" w:space="0" w:color="auto"/>
            </w:tcBorders>
            <w:tcW w:w="929"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28.3%</w:t>
            </w:r>
            <w:r/>
          </w:p>
        </w:tc>
        <w:tc>
          <w:tcPr>
            <w:tcBorders>
              <w:left w:val="none" w:color="000000" w:sz="4" w:space="0"/>
              <w:top w:val="single" w:sz="6" w:space="0" w:color="auto"/>
              <w:right w:val="single" w:sz="6" w:space="0" w:color="auto"/>
              <w:bottom w:val="single" w:sz="6" w:space="0" w:color="auto"/>
            </w:tcBorders>
            <w:tcW w:w="926"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50.0%</w:t>
            </w:r>
            <w:r/>
          </w:p>
        </w:tc>
        <w:tc>
          <w:tcPr>
            <w:tcBorders>
              <w:left w:val="none" w:color="000000" w:sz="4" w:space="0"/>
              <w:top w:val="single" w:sz="6" w:space="0" w:color="auto"/>
              <w:right w:val="single" w:sz="6" w:space="0" w:color="auto"/>
              <w:bottom w:val="single" w:sz="6" w:space="0" w:color="auto"/>
            </w:tcBorders>
            <w:tcW w:w="1048"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21.7%</w:t>
            </w:r>
            <w:r/>
          </w:p>
        </w:tc>
        <w:tc>
          <w:tcPr>
            <w:tcBorders>
              <w:left w:val="none" w:color="000000" w:sz="4" w:space="0"/>
              <w:top w:val="single" w:sz="6" w:space="0" w:color="auto"/>
              <w:right w:val="single" w:sz="6" w:space="0" w:color="auto"/>
              <w:bottom w:val="single" w:sz="6" w:space="0" w:color="auto"/>
            </w:tcBorders>
            <w:tcW w:w="932"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14.2%</w:t>
            </w:r>
            <w:r/>
          </w:p>
        </w:tc>
        <w:tc>
          <w:tcPr>
            <w:tcBorders>
              <w:left w:val="none" w:color="000000" w:sz="4" w:space="0"/>
              <w:top w:val="single" w:sz="6" w:space="0" w:color="auto"/>
              <w:right w:val="single" w:sz="6" w:space="0" w:color="auto"/>
              <w:bottom w:val="single" w:sz="6" w:space="0" w:color="auto"/>
            </w:tcBorders>
            <w:tcW w:w="1309" w:type="dxa"/>
            <w:vAlign w:val="bottom"/>
            <w:textDirection w:val="lrTb"/>
            <w:noWrap w:val="false"/>
          </w:tcPr>
          <w:p>
            <w:pPr>
              <w:jc w:val="center"/>
              <w:spacing w:lineRule="auto" w:line="360"/>
              <w:rPr>
                <w:rFonts w:ascii="楷体" w:hAnsi="楷体" w:cs="楷体" w:eastAsia="楷体"/>
                <w:b/>
                <w:bCs/>
                <w:sz w:val="21"/>
                <w:szCs w:val="21"/>
              </w:rPr>
            </w:pPr>
            <w:r>
              <w:rPr>
                <w:rFonts w:ascii="楷体" w:hAnsi="楷体" w:cs="楷体" w:eastAsia="楷体" w:hint="eastAsia"/>
                <w:b/>
                <w:bCs/>
                <w:sz w:val="21"/>
                <w:szCs w:val="21"/>
              </w:rPr>
              <w:t xml:space="preserve">60.4%</w:t>
            </w:r>
            <w:r/>
          </w:p>
        </w:tc>
      </w:tr>
    </w:tbl>
    <w:p>
      <w:pPr>
        <w:jc w:val="left"/>
        <w:spacing w:lineRule="auto" w:line="360"/>
        <w:rPr>
          <w:rFonts w:ascii="楷体" w:hAnsi="楷体" w:cs="楷体" w:eastAsia="楷体"/>
          <w:b/>
          <w:bCs/>
          <w:sz w:val="21"/>
          <w:szCs w:val="21"/>
        </w:rPr>
      </w:pPr>
      <w:r>
        <w:rPr>
          <w:rFonts w:ascii="楷体" w:hAnsi="楷体" w:cs="楷体" w:eastAsia="楷体" w:hint="eastAsia"/>
          <w:b/>
          <w:bCs/>
          <w:sz w:val="21"/>
          <w:szCs w:val="21"/>
        </w:rPr>
        <w:t xml:space="preserve">统计时间截止2022年12月</w:t>
      </w:r>
      <w:r>
        <w:rPr>
          <w:rFonts w:ascii="楷体" w:hAnsi="楷体" w:cs="楷体" w:eastAsia="楷体"/>
          <w:b/>
          <w:bCs/>
          <w:sz w:val="21"/>
          <w:szCs w:val="21"/>
        </w:rPr>
        <w:t xml:space="preserve">3</w:t>
      </w:r>
      <w:r>
        <w:rPr>
          <w:rFonts w:ascii="楷体" w:hAnsi="楷体" w:cs="楷体" w:eastAsia="楷体" w:hint="eastAsia"/>
          <w:b/>
          <w:bCs/>
          <w:sz w:val="21"/>
          <w:szCs w:val="21"/>
        </w:rPr>
        <w:t xml:space="preserve">1日。</w:t>
      </w:r>
      <w:r/>
    </w:p>
    <w:p>
      <w:pPr>
        <w:numPr>
          <w:ilvl w:val="0"/>
          <w:numId w:val="1"/>
        </w:numPr>
        <w:ind w:firstLine="560"/>
        <w:spacing w:lineRule="auto" w:line="360"/>
      </w:pPr>
      <w:r>
        <w:rPr>
          <w:rFonts w:ascii="楷体" w:hAnsi="楷体" w:cs="仿宋_GB2312" w:eastAsia="楷体" w:hint="eastAsia"/>
          <w:sz w:val="28"/>
          <w:szCs w:val="28"/>
        </w:rPr>
        <w:t xml:space="preserve">队伍建设的举措与取得的成绩</w:t>
      </w:r>
      <w:r/>
    </w:p>
    <w:p>
      <w:pPr>
        <w:pStyle w:val="400"/>
        <w:ind w:firstLine="480"/>
        <w:spacing w:lineRule="auto" w:line="360"/>
        <w:rPr>
          <w:rFonts w:eastAsia="楷体_GB2312" w:hint="default"/>
          <w:sz w:val="24"/>
          <w:szCs w:val="24"/>
        </w:rPr>
      </w:pPr>
      <w:r>
        <w:rPr>
          <w:rFonts w:eastAsia="楷体_GB2312" w:hint="default"/>
          <w:sz w:val="24"/>
          <w:szCs w:val="24"/>
        </w:rPr>
        <w:t xml:space="preserve">20</w:t>
      </w:r>
      <w:r>
        <w:rPr>
          <w:rFonts w:eastAsia="楷体_GB2312"/>
          <w:sz w:val="24"/>
          <w:szCs w:val="24"/>
        </w:rPr>
        <w:t xml:space="preserve">22</w:t>
      </w:r>
      <w:r>
        <w:rPr>
          <w:rFonts w:eastAsia="楷体_GB2312" w:hint="default"/>
          <w:sz w:val="24"/>
          <w:szCs w:val="24"/>
        </w:rPr>
        <w:t xml:space="preserve">年</w:t>
      </w:r>
      <w:r>
        <w:rPr>
          <w:rFonts w:eastAsia="楷体_GB2312"/>
          <w:sz w:val="24"/>
          <w:szCs w:val="24"/>
        </w:rPr>
        <w:t xml:space="preserve">，新增正高</w:t>
      </w:r>
      <w:r>
        <w:rPr>
          <w:rFonts w:eastAsia="楷体_GB2312"/>
          <w:sz w:val="24"/>
          <w:szCs w:val="24"/>
        </w:rPr>
        <w:t xml:space="preserve">1</w:t>
      </w:r>
      <w:r>
        <w:rPr>
          <w:rFonts w:eastAsia="楷体_GB2312"/>
          <w:sz w:val="24"/>
          <w:szCs w:val="24"/>
        </w:rPr>
        <w:t xml:space="preserve">人，副高</w:t>
      </w:r>
      <w:r>
        <w:rPr>
          <w:rFonts w:eastAsia="楷体_GB2312"/>
          <w:sz w:val="24"/>
          <w:szCs w:val="24"/>
        </w:rPr>
        <w:t xml:space="preserve">9</w:t>
      </w:r>
      <w:r>
        <w:rPr>
          <w:rFonts w:eastAsia="楷体_GB2312"/>
          <w:sz w:val="24"/>
          <w:szCs w:val="24"/>
        </w:rPr>
        <w:t xml:space="preserve">人，新增硕士生导师</w:t>
      </w:r>
      <w:r>
        <w:rPr>
          <w:rFonts w:eastAsia="楷体_GB2312"/>
          <w:sz w:val="24"/>
          <w:szCs w:val="24"/>
        </w:rPr>
        <w:t xml:space="preserve">2</w:t>
      </w:r>
      <w:r>
        <w:rPr>
          <w:rFonts w:eastAsia="楷体_GB2312"/>
          <w:sz w:val="24"/>
          <w:szCs w:val="24"/>
        </w:rPr>
        <w:t xml:space="preserve">人，中心师资队伍结构和整体</w:t>
      </w:r>
      <w:r>
        <w:rPr>
          <w:rFonts w:eastAsia="楷体_GB2312"/>
          <w:sz w:val="24"/>
          <w:szCs w:val="24"/>
          <w:lang w:val="zh-TW" w:eastAsia="zh-TW"/>
        </w:rPr>
        <w:t xml:space="preserve">素质进一步优化。</w:t>
      </w:r>
      <w:r>
        <w:rPr>
          <w:rFonts w:eastAsia="楷体_GB2312"/>
          <w:sz w:val="24"/>
          <w:szCs w:val="24"/>
        </w:rPr>
        <w:t xml:space="preserve">2022</w:t>
      </w:r>
      <w:r>
        <w:rPr>
          <w:rFonts w:eastAsia="楷体_GB2312"/>
          <w:sz w:val="24"/>
          <w:szCs w:val="24"/>
        </w:rPr>
        <w:t xml:space="preserve">年</w:t>
      </w:r>
      <w:r>
        <w:rPr>
          <w:rFonts w:eastAsia="楷体_GB2312" w:hint="default"/>
          <w:sz w:val="24"/>
          <w:szCs w:val="24"/>
        </w:rPr>
        <w:t xml:space="preserve">获各类科研项目</w:t>
      </w:r>
      <w:r>
        <w:rPr>
          <w:rFonts w:eastAsia="楷体_GB2312"/>
          <w:sz w:val="24"/>
          <w:szCs w:val="24"/>
        </w:rPr>
        <w:t xml:space="preserve">14</w:t>
      </w:r>
      <w:r>
        <w:rPr>
          <w:rFonts w:eastAsia="楷体_GB2312" w:hint="default"/>
          <w:sz w:val="24"/>
          <w:szCs w:val="24"/>
        </w:rPr>
        <w:t xml:space="preserve">项，批准经费</w:t>
      </w:r>
      <w:r>
        <w:rPr>
          <w:rFonts w:eastAsia="楷体_GB2312"/>
          <w:sz w:val="24"/>
          <w:szCs w:val="24"/>
        </w:rPr>
        <w:t xml:space="preserve">252</w:t>
      </w:r>
      <w:r>
        <w:rPr>
          <w:rFonts w:eastAsia="楷体_GB2312" w:hint="default"/>
          <w:sz w:val="24"/>
          <w:szCs w:val="24"/>
        </w:rPr>
        <w:t xml:space="preserve">万元。其中，获批国家自然科学青年科学基金项目</w:t>
      </w:r>
      <w:r>
        <w:rPr>
          <w:rFonts w:eastAsia="楷体_GB2312"/>
          <w:sz w:val="24"/>
          <w:szCs w:val="24"/>
        </w:rPr>
        <w:t xml:space="preserve">5</w:t>
      </w:r>
      <w:r>
        <w:rPr>
          <w:rFonts w:eastAsia="楷体_GB2312" w:hint="default"/>
          <w:sz w:val="24"/>
          <w:szCs w:val="24"/>
        </w:rPr>
        <w:t xml:space="preserve">项；重庆市自然科学基金面上项目</w:t>
      </w:r>
      <w:r>
        <w:rPr>
          <w:rFonts w:eastAsia="楷体_GB2312" w:hint="default"/>
          <w:sz w:val="24"/>
          <w:szCs w:val="24"/>
        </w:rPr>
        <w:t xml:space="preserve">5</w:t>
      </w:r>
      <w:r>
        <w:rPr>
          <w:rFonts w:eastAsia="楷体_GB2312" w:hint="default"/>
          <w:sz w:val="24"/>
          <w:szCs w:val="24"/>
        </w:rPr>
        <w:t xml:space="preserve">项、博士后基金项目</w:t>
      </w:r>
      <w:r>
        <w:rPr>
          <w:rFonts w:eastAsia="楷体_GB2312" w:hint="default"/>
          <w:sz w:val="24"/>
          <w:szCs w:val="24"/>
        </w:rPr>
        <w:t xml:space="preserve">1</w:t>
      </w:r>
      <w:r>
        <w:rPr>
          <w:rFonts w:eastAsia="楷体_GB2312" w:hint="default"/>
          <w:sz w:val="24"/>
          <w:szCs w:val="24"/>
        </w:rPr>
        <w:t xml:space="preserve">项。在国内外期刊发表各类论文</w:t>
      </w:r>
      <w:r>
        <w:rPr>
          <w:rFonts w:eastAsia="楷体_GB2312"/>
          <w:sz w:val="24"/>
          <w:szCs w:val="24"/>
        </w:rPr>
        <w:t xml:space="preserve">117</w:t>
      </w:r>
      <w:r>
        <w:rPr>
          <w:rFonts w:eastAsia="楷体_GB2312" w:hint="default"/>
          <w:sz w:val="24"/>
          <w:szCs w:val="24"/>
        </w:rPr>
        <w:t xml:space="preserve">篇，其中</w:t>
      </w:r>
      <w:r>
        <w:rPr>
          <w:rFonts w:eastAsia="楷体_GB2312" w:hint="default"/>
          <w:sz w:val="24"/>
          <w:szCs w:val="24"/>
        </w:rPr>
        <w:t xml:space="preserve">SCI</w:t>
      </w:r>
      <w:r>
        <w:rPr>
          <w:rFonts w:eastAsia="楷体_GB2312" w:hint="default"/>
          <w:sz w:val="24"/>
          <w:szCs w:val="24"/>
        </w:rPr>
        <w:t xml:space="preserve">论文</w:t>
      </w:r>
      <w:r>
        <w:rPr>
          <w:rFonts w:eastAsia="楷体_GB2312"/>
          <w:sz w:val="24"/>
          <w:szCs w:val="24"/>
        </w:rPr>
        <w:t xml:space="preserve">98</w:t>
      </w:r>
      <w:r>
        <w:rPr>
          <w:rFonts w:eastAsia="楷体_GB2312" w:hint="default"/>
          <w:sz w:val="24"/>
          <w:szCs w:val="24"/>
        </w:rPr>
        <w:t xml:space="preserve">篇，其中，</w:t>
      </w:r>
      <w:r>
        <w:rPr>
          <w:rFonts w:eastAsia="楷体_GB2312" w:hint="default"/>
          <w:sz w:val="24"/>
          <w:szCs w:val="24"/>
        </w:rPr>
        <w:t xml:space="preserve">5</w:t>
      </w:r>
      <w:r>
        <w:rPr>
          <w:rFonts w:eastAsia="楷体_GB2312" w:hint="default"/>
          <w:sz w:val="24"/>
          <w:szCs w:val="24"/>
        </w:rPr>
        <w:t xml:space="preserve">分以上文章</w:t>
      </w:r>
      <w:r>
        <w:rPr>
          <w:rFonts w:eastAsia="楷体_GB2312"/>
          <w:sz w:val="24"/>
          <w:szCs w:val="24"/>
        </w:rPr>
        <w:t xml:space="preserve">71</w:t>
      </w:r>
      <w:r>
        <w:rPr>
          <w:rFonts w:eastAsia="楷体_GB2312" w:hint="default"/>
          <w:sz w:val="24"/>
          <w:szCs w:val="24"/>
        </w:rPr>
        <w:t xml:space="preserve">篇，</w:t>
      </w:r>
      <w:r>
        <w:rPr>
          <w:rFonts w:eastAsia="楷体_GB2312" w:hint="default"/>
          <w:sz w:val="24"/>
          <w:szCs w:val="24"/>
        </w:rPr>
        <w:t xml:space="preserve">10</w:t>
      </w:r>
      <w:r>
        <w:rPr>
          <w:rFonts w:eastAsia="楷体_GB2312" w:hint="default"/>
          <w:sz w:val="24"/>
          <w:szCs w:val="24"/>
        </w:rPr>
        <w:t xml:space="preserve">分以上文章</w:t>
      </w:r>
      <w:r>
        <w:rPr>
          <w:rFonts w:eastAsia="楷体_GB2312" w:hint="default"/>
          <w:sz w:val="24"/>
          <w:szCs w:val="24"/>
        </w:rPr>
        <w:t xml:space="preserve">7</w:t>
      </w:r>
      <w:r>
        <w:rPr>
          <w:rFonts w:eastAsia="楷体_GB2312" w:hint="default"/>
          <w:sz w:val="24"/>
          <w:szCs w:val="24"/>
        </w:rPr>
        <w:t xml:space="preserve">篇，中文核心期刊</w:t>
      </w:r>
      <w:r>
        <w:rPr>
          <w:rFonts w:eastAsia="楷体_GB2312"/>
          <w:sz w:val="24"/>
          <w:szCs w:val="24"/>
        </w:rPr>
        <w:t xml:space="preserve">5</w:t>
      </w:r>
      <w:r>
        <w:rPr>
          <w:rFonts w:eastAsia="楷体_GB2312" w:hint="default"/>
          <w:sz w:val="24"/>
          <w:szCs w:val="24"/>
        </w:rPr>
        <w:t xml:space="preserve">篇。</w:t>
      </w:r>
      <w:r>
        <w:rPr>
          <w:rFonts w:eastAsia="楷体_GB2312"/>
          <w:sz w:val="24"/>
          <w:szCs w:val="24"/>
        </w:rPr>
        <w:t xml:space="preserve">获得授权国家发明专利</w:t>
      </w:r>
      <w:r>
        <w:rPr>
          <w:rFonts w:eastAsia="楷体_GB2312"/>
          <w:sz w:val="24"/>
          <w:szCs w:val="24"/>
        </w:rPr>
        <w:t xml:space="preserve">19</w:t>
      </w:r>
      <w:r>
        <w:rPr>
          <w:rFonts w:eastAsia="楷体_GB2312"/>
          <w:sz w:val="24"/>
          <w:szCs w:val="24"/>
        </w:rPr>
        <w:t xml:space="preserve">项。</w:t>
      </w:r>
      <w:r/>
    </w:p>
    <w:p>
      <w:pPr>
        <w:pStyle w:val="400"/>
        <w:ind w:firstLine="560"/>
        <w:spacing w:lineRule="auto" w:line="360"/>
        <w:rPr>
          <w:rFonts w:hint="default"/>
        </w:rPr>
      </w:pPr>
      <w:r/>
      <w:bookmarkStart w:id="2" w:name="_Toc22490"/>
      <w:r/>
      <w:bookmarkStart w:id="3" w:name="_Toc2946"/>
      <w:r/>
      <w:bookmarkStart w:id="4" w:name="_Toc19220"/>
      <w:r/>
      <w:r/>
    </w:p>
    <w:p>
      <w:pPr>
        <w:ind w:firstLine="482"/>
        <w:jc w:val="center"/>
        <w:spacing w:lineRule="auto" w:line="360"/>
        <w:rPr>
          <w:rFonts w:eastAsia="楷体_GB2312"/>
          <w:b/>
          <w:bCs/>
        </w:rPr>
        <w:outlineLvl w:val="0"/>
      </w:pPr>
      <w:r>
        <w:rPr>
          <w:rFonts w:eastAsia="楷体_GB2312" w:hint="eastAsia"/>
          <w:b/>
          <w:bCs/>
        </w:rPr>
        <w:t xml:space="preserve">2022</w:t>
      </w:r>
      <w:r>
        <w:rPr>
          <w:rFonts w:eastAsia="楷体_GB2312" w:hint="eastAsia"/>
          <w:b/>
          <w:bCs/>
        </w:rPr>
        <w:t xml:space="preserve">年药学实验中心职称晋升情况一览表</w:t>
      </w:r>
      <w:bookmarkEnd w:id="2"/>
      <w:r/>
      <w:bookmarkEnd w:id="3"/>
      <w:r/>
      <w:bookmarkEnd w:id="4"/>
      <w:r/>
      <w:r/>
    </w:p>
    <w:tbl>
      <w:tblPr>
        <w:tblW w:w="8319" w:type="dxa"/>
        <w:tblBorders>
          <w:left w:val="single" w:color="000000" w:sz="8" w:space="0"/>
          <w:top w:val="single" w:color="000000" w:sz="8" w:space="0"/>
          <w:right w:val="single" w:color="000000" w:sz="8" w:space="0"/>
          <w:bottom w:val="single" w:color="000000" w:sz="8" w:space="0"/>
          <w:insideV w:val="single" w:color="000000" w:sz="8" w:space="0"/>
          <w:insideH w:val="single" w:color="000000" w:sz="8" w:space="0"/>
        </w:tblBorders>
        <w:tblLayout w:type="fixed"/>
        <w:tblCellMar>
          <w:left w:w="0" w:type="dxa"/>
          <w:right w:w="0" w:type="dxa"/>
        </w:tblCellMar>
        <w:tblLook w:val="04A0" w:firstRow="1" w:lastRow="0" w:firstColumn="1" w:lastColumn="0" w:noHBand="0" w:noVBand="1"/>
      </w:tblPr>
      <w:tblGrid>
        <w:gridCol w:w="695"/>
        <w:gridCol w:w="1366"/>
        <w:gridCol w:w="1458"/>
        <w:gridCol w:w="1960"/>
        <w:gridCol w:w="2840"/>
      </w:tblGrid>
      <w:tr>
        <w:trPr>
          <w:trHeight w:val="454"/>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b/>
                <w:bCs/>
                <w:sz w:val="22"/>
                <w:szCs w:val="22"/>
              </w:rPr>
            </w:pPr>
            <w:r>
              <w:rPr>
                <w:rFonts w:ascii="楷体" w:hAnsi="楷体" w:cs="楷体" w:eastAsia="楷体" w:hint="eastAsia"/>
                <w:b/>
                <w:bCs/>
                <w:sz w:val="22"/>
                <w:szCs w:val="22"/>
              </w:rPr>
              <w:t xml:space="preserve">序号</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b/>
                <w:bCs/>
                <w:sz w:val="22"/>
                <w:szCs w:val="22"/>
              </w:rPr>
            </w:pPr>
            <w:r>
              <w:rPr>
                <w:rFonts w:ascii="楷体" w:hAnsi="楷体" w:cs="楷体" w:eastAsia="楷体" w:hint="eastAsia"/>
                <w:b/>
                <w:bCs/>
                <w:sz w:val="22"/>
                <w:szCs w:val="22"/>
              </w:rPr>
              <w:t xml:space="preserve">姓名</w:t>
            </w:r>
            <w:r/>
          </w:p>
        </w:tc>
        <w:tc>
          <w:tcPr>
            <w:tcMar>
              <w:left w:w="11" w:type="dxa"/>
              <w:top w:w="11" w:type="dxa"/>
              <w:right w:w="11" w:type="dxa"/>
              <w:bottom w:w="0" w:type="dxa"/>
            </w:tcMar>
            <w:tcW w:w="1458" w:type="dxa"/>
            <w:vAlign w:val="center"/>
            <w:textDirection w:val="lrTb"/>
            <w:noWrap w:val="false"/>
          </w:tcPr>
          <w:p>
            <w:pPr>
              <w:jc w:val="center"/>
              <w:spacing w:lineRule="auto" w:line="360"/>
              <w:rPr>
                <w:rFonts w:ascii="楷体" w:hAnsi="楷体" w:cs="楷体" w:eastAsia="楷体"/>
                <w:b/>
                <w:bCs/>
                <w:sz w:val="22"/>
                <w:szCs w:val="22"/>
              </w:rPr>
            </w:pPr>
            <w:r>
              <w:rPr>
                <w:rFonts w:ascii="楷体" w:hAnsi="楷体" w:cs="楷体" w:eastAsia="楷体" w:hint="eastAsia"/>
                <w:b/>
                <w:bCs/>
                <w:sz w:val="22"/>
                <w:szCs w:val="22"/>
              </w:rPr>
              <w:t xml:space="preserve">学历</w:t>
            </w:r>
            <w:r/>
          </w:p>
        </w:tc>
        <w:tc>
          <w:tcPr>
            <w:tcMar>
              <w:left w:w="11" w:type="dxa"/>
              <w:top w:w="11" w:type="dxa"/>
              <w:right w:w="11" w:type="dxa"/>
              <w:bottom w:w="0" w:type="dxa"/>
            </w:tcMar>
            <w:tcW w:w="1960" w:type="dxa"/>
            <w:vAlign w:val="center"/>
            <w:textDirection w:val="lrTb"/>
            <w:noWrap w:val="false"/>
          </w:tcPr>
          <w:p>
            <w:pPr>
              <w:jc w:val="center"/>
              <w:spacing w:lineRule="auto" w:line="360"/>
              <w:rPr>
                <w:rFonts w:ascii="楷体" w:hAnsi="楷体" w:cs="楷体" w:eastAsia="楷体"/>
                <w:b/>
                <w:bCs/>
                <w:sz w:val="22"/>
                <w:szCs w:val="22"/>
              </w:rPr>
            </w:pPr>
            <w:r>
              <w:rPr>
                <w:rFonts w:ascii="楷体" w:hAnsi="楷体" w:cs="楷体" w:eastAsia="楷体" w:hint="eastAsia"/>
                <w:b/>
                <w:bCs/>
                <w:sz w:val="22"/>
                <w:szCs w:val="22"/>
              </w:rPr>
              <w:t xml:space="preserve">职称</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b/>
                <w:bCs/>
                <w:sz w:val="22"/>
                <w:szCs w:val="22"/>
              </w:rPr>
            </w:pPr>
            <w:r>
              <w:rPr>
                <w:rFonts w:ascii="楷体" w:hAnsi="楷体" w:cs="楷体" w:eastAsia="楷体" w:hint="eastAsia"/>
                <w:b/>
                <w:bCs/>
                <w:sz w:val="22"/>
                <w:szCs w:val="22"/>
              </w:rPr>
              <w:t xml:space="preserve">备注</w:t>
            </w:r>
            <w:r/>
          </w:p>
        </w:tc>
      </w:tr>
      <w:tr>
        <w:trPr>
          <w:trHeight w:val="454"/>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1</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吴柯</w:t>
            </w:r>
            <w:r/>
          </w:p>
        </w:tc>
        <w:tc>
          <w:tcPr>
            <w:tcMar>
              <w:left w:w="11" w:type="dxa"/>
              <w:top w:w="11" w:type="dxa"/>
              <w:right w:w="11"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1"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徐标</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3</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刘倩</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4</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张晓</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5</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胡萍萍</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6</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张倩玉</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7</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赵倩倩</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8</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马玉莹</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副教授</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9</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李盼</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副研究员</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r>
        <w:trPr>
          <w:trHeight w:val="471"/>
        </w:trPr>
        <w:tc>
          <w:tcPr>
            <w:tcMar>
              <w:left w:w="11" w:type="dxa"/>
              <w:top w:w="11" w:type="dxa"/>
              <w:right w:w="11" w:type="dxa"/>
              <w:bottom w:w="0" w:type="dxa"/>
            </w:tcMar>
            <w:tcW w:w="695"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10</w:t>
            </w:r>
            <w:r/>
          </w:p>
        </w:tc>
        <w:tc>
          <w:tcPr>
            <w:tcMar>
              <w:left w:w="11" w:type="dxa"/>
              <w:top w:w="11" w:type="dxa"/>
              <w:right w:w="11" w:type="dxa"/>
              <w:bottom w:w="0" w:type="dxa"/>
            </w:tcMar>
            <w:tcW w:w="1366"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柯秀梅</w:t>
            </w:r>
            <w:r/>
          </w:p>
        </w:tc>
        <w:tc>
          <w:tcPr>
            <w:tcMar>
              <w:left w:w="28" w:type="dxa"/>
              <w:top w:w="15" w:type="dxa"/>
              <w:right w:w="28" w:type="dxa"/>
              <w:bottom w:w="0" w:type="dxa"/>
            </w:tcMar>
            <w:tcW w:w="1458"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博士</w:t>
            </w:r>
            <w:r/>
          </w:p>
        </w:tc>
        <w:tc>
          <w:tcPr>
            <w:tcMar>
              <w:left w:w="11" w:type="dxa"/>
              <w:top w:w="15" w:type="dxa"/>
              <w:right w:w="11" w:type="dxa"/>
              <w:bottom w:w="0" w:type="dxa"/>
            </w:tcMar>
            <w:tcW w:w="196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副研究员</w:t>
            </w:r>
            <w:r/>
          </w:p>
        </w:tc>
        <w:tc>
          <w:tcPr>
            <w:tcMar>
              <w:left w:w="11" w:type="dxa"/>
              <w:top w:w="11" w:type="dxa"/>
              <w:right w:w="11" w:type="dxa"/>
              <w:bottom w:w="0" w:type="dxa"/>
            </w:tcMar>
            <w:tcW w:w="2840" w:type="dxa"/>
            <w:vAlign w:val="center"/>
            <w:textDirection w:val="lrTb"/>
            <w:noWrap w:val="false"/>
          </w:tcPr>
          <w:p>
            <w:pPr>
              <w:jc w:val="center"/>
              <w:spacing w:lineRule="auto" w:line="360"/>
              <w:rPr>
                <w:rFonts w:ascii="楷体" w:hAnsi="楷体" w:cs="楷体" w:eastAsia="楷体"/>
                <w:sz w:val="22"/>
                <w:szCs w:val="22"/>
              </w:rPr>
            </w:pPr>
            <w:r>
              <w:rPr>
                <w:rFonts w:ascii="楷体" w:hAnsi="楷体" w:cs="楷体" w:eastAsia="楷体" w:hint="eastAsia"/>
                <w:sz w:val="22"/>
                <w:szCs w:val="22"/>
              </w:rPr>
              <w:t xml:space="preserve">2022年12月起算</w:t>
            </w:r>
            <w:r/>
          </w:p>
        </w:tc>
      </w:tr>
    </w:tbl>
    <w:p>
      <w:pPr>
        <w:ind w:firstLine="560"/>
        <w:spacing w:lineRule="auto" w:line="360"/>
        <w:rPr>
          <w:rFonts w:ascii="黑体" w:hAnsi="黑体" w:cs="仿宋_GB2312" w:eastAsia="黑体"/>
          <w:sz w:val="28"/>
          <w:szCs w:val="28"/>
        </w:rPr>
      </w:pPr>
      <w:r>
        <w:rPr>
          <w:rFonts w:ascii="黑体" w:hAnsi="黑体" w:cs="仿宋_GB2312" w:eastAsia="黑体" w:hint="eastAsia"/>
          <w:sz w:val="28"/>
          <w:szCs w:val="28"/>
        </w:rPr>
        <w:t xml:space="preserve">三、教学改革与科学研究</w:t>
      </w:r>
      <w:r/>
    </w:p>
    <w:p>
      <w:pPr>
        <w:ind w:firstLine="560"/>
        <w:spacing w:lineRule="auto" w:line="360"/>
        <w:rPr>
          <w:rFonts w:ascii="楷体" w:hAnsi="楷体" w:cs="仿宋_GB2312" w:eastAsia="楷体"/>
          <w:sz w:val="28"/>
          <w:szCs w:val="28"/>
        </w:rPr>
      </w:pPr>
      <w:r>
        <w:rPr>
          <w:rFonts w:ascii="楷体" w:hAnsi="楷体" w:cs="仿宋_GB2312" w:eastAsia="楷体" w:hint="eastAsia"/>
          <w:sz w:val="28"/>
          <w:szCs w:val="28"/>
        </w:rPr>
        <w:t xml:space="preserve">（一）教学改革立项、进展、完成等情况</w:t>
      </w:r>
      <w:r/>
    </w:p>
    <w:p>
      <w:pPr>
        <w:ind w:firstLine="480"/>
        <w:spacing w:lineRule="auto" w:line="360"/>
        <w:rPr>
          <w:rFonts w:ascii="Times New Roman" w:hAnsi="Times New Roman" w:cs="Times New Roman" w:eastAsia="楷体_GB2312"/>
          <w:highlight w:val="yellow"/>
        </w:rPr>
      </w:pPr>
      <w:r>
        <w:rPr>
          <w:rFonts w:ascii="Times New Roman" w:hAnsi="Times New Roman" w:cs="Times New Roman" w:eastAsia="楷体_GB2312"/>
        </w:rPr>
        <w:t xml:space="preserve">多措并举，教研教改硕果累累：</w:t>
      </w:r>
      <w:r>
        <w:rPr>
          <w:rFonts w:ascii="Times New Roman" w:hAnsi="Times New Roman" w:cs="Times New Roman" w:eastAsia="楷体_GB2312"/>
        </w:rPr>
        <w:t xml:space="preserve">2022</w:t>
      </w:r>
      <w:r>
        <w:rPr>
          <w:rFonts w:ascii="Times New Roman" w:hAnsi="Times New Roman" w:cs="Times New Roman" w:eastAsia="楷体_GB2312"/>
        </w:rPr>
        <w:t xml:space="preserve">年获得省部级教改立项</w:t>
      </w:r>
      <w:r>
        <w:rPr>
          <w:rFonts w:ascii="Times New Roman" w:hAnsi="Times New Roman" w:cs="Times New Roman" w:eastAsia="楷体_GB2312"/>
        </w:rPr>
        <w:t xml:space="preserve">2</w:t>
      </w:r>
      <w:r>
        <w:rPr>
          <w:rFonts w:ascii="Times New Roman" w:hAnsi="Times New Roman" w:cs="Times New Roman" w:eastAsia="楷体_GB2312"/>
        </w:rPr>
        <w:t xml:space="preserve">项，校级教改立项</w:t>
      </w:r>
      <w:r>
        <w:rPr>
          <w:rFonts w:ascii="Times New Roman" w:hAnsi="Times New Roman" w:cs="Times New Roman" w:eastAsia="楷体_GB2312"/>
        </w:rPr>
        <w:t xml:space="preserve">3</w:t>
      </w:r>
      <w:r>
        <w:rPr>
          <w:rFonts w:ascii="Times New Roman" w:hAnsi="Times New Roman" w:cs="Times New Roman" w:eastAsia="楷体_GB2312"/>
        </w:rPr>
        <w:t xml:space="preserve">项，发表教改论文</w:t>
      </w:r>
      <w:r>
        <w:rPr>
          <w:rFonts w:ascii="Times New Roman" w:hAnsi="Times New Roman" w:cs="Times New Roman" w:eastAsia="楷体_GB2312"/>
        </w:rPr>
        <w:t xml:space="preserve">6</w:t>
      </w:r>
      <w:r>
        <w:rPr>
          <w:rFonts w:ascii="Times New Roman" w:hAnsi="Times New Roman" w:cs="Times New Roman" w:eastAsia="楷体_GB2312"/>
        </w:rPr>
        <w:t xml:space="preserve">篇，主编和副主编教材</w:t>
      </w:r>
      <w:r>
        <w:rPr>
          <w:rFonts w:ascii="Times New Roman" w:hAnsi="Times New Roman" w:cs="Times New Roman" w:eastAsia="楷体_GB2312"/>
        </w:rPr>
        <w:t xml:space="preserve">2</w:t>
      </w:r>
      <w:r>
        <w:rPr>
          <w:rFonts w:ascii="Times New Roman" w:hAnsi="Times New Roman" w:cs="Times New Roman" w:eastAsia="楷体_GB2312"/>
        </w:rPr>
        <w:t xml:space="preserve">本，参编教材</w:t>
      </w:r>
      <w:r>
        <w:rPr>
          <w:rFonts w:ascii="Times New Roman" w:hAnsi="Times New Roman" w:cs="Times New Roman" w:eastAsia="楷体_GB2312"/>
        </w:rPr>
        <w:t xml:space="preserve">1</w:t>
      </w:r>
      <w:r>
        <w:rPr>
          <w:rFonts w:ascii="Times New Roman" w:hAnsi="Times New Roman" w:cs="Times New Roman" w:eastAsia="楷体_GB2312"/>
        </w:rPr>
        <w:t xml:space="preserve">本，</w:t>
      </w:r>
      <w:r>
        <w:rPr>
          <w:rFonts w:ascii="Times New Roman" w:hAnsi="Times New Roman" w:cs="Times New Roman" w:eastAsia="楷体_GB2312"/>
        </w:rPr>
        <w:t xml:space="preserve">1</w:t>
      </w:r>
      <w:r>
        <w:rPr>
          <w:rFonts w:ascii="Times New Roman" w:hAnsi="Times New Roman" w:cs="Times New Roman" w:eastAsia="楷体_GB2312"/>
        </w:rPr>
        <w:t xml:space="preserve">名教师获校级优秀教师奖励，</w:t>
      </w:r>
      <w:r>
        <w:rPr>
          <w:rFonts w:ascii="Times New Roman" w:hAnsi="Times New Roman" w:cs="Times New Roman" w:eastAsia="楷体_GB2312"/>
        </w:rPr>
        <w:t xml:space="preserve">1</w:t>
      </w:r>
      <w:r>
        <w:rPr>
          <w:rFonts w:ascii="Times New Roman" w:hAnsi="Times New Roman" w:cs="Times New Roman" w:eastAsia="楷体_GB2312"/>
        </w:rPr>
        <w:t xml:space="preserve">部教材获得优秀教材奖，教师</w:t>
      </w:r>
      <w:r>
        <w:rPr>
          <w:rFonts w:ascii="Times New Roman" w:hAnsi="Times New Roman" w:cs="Times New Roman" w:eastAsia="楷体_GB2312"/>
        </w:rPr>
        <w:t xml:space="preserve">9</w:t>
      </w:r>
      <w:r>
        <w:rPr>
          <w:rFonts w:ascii="Times New Roman" w:hAnsi="Times New Roman" w:cs="Times New Roman" w:eastAsia="楷体_GB2312"/>
        </w:rPr>
        <w:t xml:space="preserve">人次指导学生获得省部级创新创业比赛银奖或铜奖。</w:t>
      </w:r>
      <w:r/>
    </w:p>
    <w:p>
      <w:pPr>
        <w:pStyle w:val="395"/>
        <w:ind w:firstLine="2168"/>
        <w:rPr>
          <w:rFonts w:ascii="楷体" w:hAnsi="楷体" w:cs="楷体" w:eastAsia="楷体"/>
          <w:sz w:val="24"/>
          <w:szCs w:val="24"/>
        </w:rPr>
      </w:pPr>
      <w:r>
        <w:rPr>
          <w:rFonts w:ascii="楷体" w:hAnsi="楷体" w:cs="楷体" w:eastAsia="楷体" w:hint="eastAsia"/>
          <w:sz w:val="24"/>
          <w:szCs w:val="24"/>
        </w:rPr>
        <w:t xml:space="preserve">2022年中心教师在研市级教改课题情况表</w:t>
      </w:r>
      <w:r/>
    </w:p>
    <w:tbl>
      <w:tblPr>
        <w:tblW w:w="8707" w:type="dxa"/>
        <w:tblInd w:w="96" w:type="dxa"/>
        <w:tblLayout w:type="fixed"/>
        <w:tblLook w:val="04A0" w:firstRow="1" w:lastRow="0" w:firstColumn="1" w:lastColumn="0" w:noHBand="0" w:noVBand="1"/>
      </w:tblPr>
      <w:tblGrid>
        <w:gridCol w:w="895"/>
        <w:gridCol w:w="1137"/>
        <w:gridCol w:w="2660"/>
        <w:gridCol w:w="895"/>
        <w:gridCol w:w="887"/>
        <w:gridCol w:w="1107"/>
        <w:gridCol w:w="1126"/>
      </w:tblGrid>
      <w:tr>
        <w:trPr>
          <w:trHeight w:val="1210"/>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tcPr>
          <w:p>
            <w:pPr>
              <w:jc w:val="center"/>
              <w:widowControl/>
              <w:rPr>
                <w:rFonts w:ascii="楷体" w:hAnsi="楷体" w:cs="楷体" w:eastAsia="楷体"/>
                <w:b/>
                <w:bCs/>
                <w:sz w:val="22"/>
                <w:szCs w:val="22"/>
                <w:lang w:bidi="ar"/>
              </w:rPr>
            </w:pPr>
            <w:r>
              <w:rPr>
                <w:rFonts w:ascii="楷体" w:hAnsi="楷体" w:cs="楷体" w:eastAsia="楷体" w:hint="eastAsia"/>
                <w:b/>
                <w:bCs/>
                <w:sz w:val="22"/>
                <w:szCs w:val="22"/>
                <w:lang w:bidi="ar"/>
              </w:rPr>
              <w:t xml:space="preserve">序号</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tcPr>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课题名称</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tcPr>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文号</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负责人</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val="false"/>
          </w:tcPr>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起止时间</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val="false"/>
          </w:tcPr>
          <w:p>
            <w:pPr>
              <w:jc w:val="center"/>
              <w:widowControl/>
              <w:rPr>
                <w:rFonts w:ascii="楷体" w:hAnsi="楷体" w:cs="楷体" w:eastAsia="楷体"/>
                <w:b/>
                <w:bCs/>
                <w:sz w:val="22"/>
                <w:szCs w:val="22"/>
                <w:lang w:bidi="ar"/>
              </w:rPr>
            </w:pPr>
            <w:r>
              <w:rPr>
                <w:rFonts w:ascii="楷体" w:hAnsi="楷体" w:cs="楷体" w:eastAsia="楷体" w:hint="eastAsia"/>
                <w:b/>
                <w:bCs/>
                <w:sz w:val="22"/>
                <w:szCs w:val="22"/>
                <w:lang w:bidi="ar"/>
              </w:rPr>
              <w:t xml:space="preserve">经费</w:t>
            </w:r>
            <w:r/>
          </w:p>
          <w:p>
            <w:pPr>
              <w:jc w:val="center"/>
              <w:widowControl/>
              <w:rPr>
                <w:rFonts w:ascii="楷体" w:hAnsi="楷体" w:cs="楷体" w:eastAsia="楷体"/>
                <w:b/>
                <w:bCs/>
                <w:sz w:val="22"/>
                <w:szCs w:val="22"/>
              </w:rPr>
            </w:pPr>
            <w:r>
              <w:rPr>
                <w:rFonts w:ascii="楷体" w:hAnsi="楷体" w:cs="楷体" w:eastAsia="楷体" w:hint="eastAsia"/>
                <w:b/>
                <w:bCs/>
                <w:sz w:val="22"/>
                <w:szCs w:val="22"/>
                <w:lang w:bidi="ar"/>
              </w:rPr>
              <w:t xml:space="preserve">（万元 ）</w:t>
            </w:r>
            <w:r/>
          </w:p>
        </w:tc>
      </w:tr>
      <w:tr>
        <w:trPr>
          <w:trHeight w:val="576"/>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1</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药物设计虚拟实验体系的构建及应用研究</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193067</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邓萍</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2019.0–</w:t>
            </w:r>
            <w:r/>
          </w:p>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2022.08</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3</w:t>
            </w:r>
            <w:r/>
          </w:p>
        </w:tc>
      </w:tr>
      <w:tr>
        <w:trPr>
          <w:trHeight w:val="864"/>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2</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市级教改重点项目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“互联网+CADD”资源共享平台建立培养药学专业研究生创新能力的实践与探索</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yjg192016</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张永红</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2019.05-2022.04</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3</w:t>
            </w:r>
            <w:r/>
          </w:p>
        </w:tc>
      </w:tr>
      <w:tr>
        <w:trPr>
          <w:trHeight w:val="1335"/>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3</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基于“培养创新型医学人才”背景下药学本科生早期科研能力培养的教学模式研究与实践   </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203388</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范 琦</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2020.07-</w:t>
            </w:r>
            <w:r/>
          </w:p>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2022.06</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0.5</w:t>
            </w:r>
            <w:r/>
          </w:p>
        </w:tc>
      </w:tr>
      <w:tr>
        <w:trPr>
          <w:trHeight w:val="1020"/>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4</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rPr>
            </w:pPr>
            <w:r>
              <w:rPr>
                <w:rFonts w:ascii="楷体" w:hAnsi="楷体" w:cs="楷体" w:eastAsia="楷体" w:hint="eastAsia"/>
                <w:sz w:val="22"/>
                <w:szCs w:val="22"/>
                <w:lang w:bidi="ar"/>
              </w:rPr>
              <w:t xml:space="preserve">基于OBE理念的药物分析课程质量保障体系的构建与评价</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2020-GX-268</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王杰</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2020.10-2023.10</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rPr>
            </w:pPr>
            <w:r>
              <w:rPr>
                <w:rFonts w:ascii="楷体" w:hAnsi="楷体" w:cs="楷体" w:eastAsia="楷体" w:hint="eastAsia"/>
                <w:sz w:val="22"/>
                <w:szCs w:val="22"/>
                <w:lang w:bidi="ar"/>
              </w:rPr>
              <w:t xml:space="preserve">0.5</w:t>
            </w:r>
            <w:r/>
          </w:p>
        </w:tc>
      </w:tr>
      <w:tr>
        <w:trPr>
          <w:trHeight w:val="1020"/>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ind w:firstLine="220"/>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5</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基于药剂学核心课程群建设的药物制剂专业教学改革探索</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2021-GX-308</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陈华黎</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2021.02-</w:t>
            </w:r>
            <w:r/>
          </w:p>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2023.12</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1.0</w:t>
            </w:r>
            <w:r/>
          </w:p>
        </w:tc>
      </w:tr>
      <w:tr>
        <w:trPr>
          <w:trHeight w:val="1020"/>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ind w:firstLine="220"/>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6</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基于国家级一流本科专业建设的临床药学本科毕业生职业发展现状跟踪调查研究</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JY210203</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杨俊卿</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2022.01-</w:t>
            </w:r>
            <w:r/>
          </w:p>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2023.12</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2.0</w:t>
            </w:r>
            <w:r/>
          </w:p>
        </w:tc>
      </w:tr>
      <w:tr>
        <w:trPr>
          <w:trHeight w:val="1020"/>
        </w:trPr>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ind w:firstLine="220"/>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7</w:t>
            </w:r>
            <w:r/>
          </w:p>
        </w:tc>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2660"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新医科背景下药学类专业课程思政教学体系的构建与研究</w:t>
            </w:r>
            <w:r/>
          </w:p>
        </w:tc>
        <w:tc>
          <w:tcPr>
            <w:shd w:val="clear" w:color="auto" w:fill="auto"/>
            <w:tcBorders>
              <w:left w:val="single" w:color="000000" w:sz="4" w:space="0"/>
              <w:top w:val="single" w:color="000000" w:sz="4" w:space="0"/>
              <w:right w:val="single" w:color="000000" w:sz="4" w:space="0"/>
              <w:bottom w:val="single" w:color="000000" w:sz="4" w:space="0"/>
            </w:tcBorders>
            <w:tcW w:w="895"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JY210327</w:t>
            </w:r>
            <w:r/>
          </w:p>
        </w:tc>
        <w:tc>
          <w:tcPr>
            <w:shd w:val="clear" w:color="auto" w:fill="auto"/>
            <w:tcBorders>
              <w:left w:val="single" w:color="000000" w:sz="4" w:space="0"/>
              <w:top w:val="single" w:color="000000" w:sz="4" w:space="0"/>
              <w:right w:val="single" w:color="000000" w:sz="4" w:space="0"/>
              <w:bottom w:val="single" w:color="000000" w:sz="4" w:space="0"/>
            </w:tcBorders>
            <w:tcW w:w="88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邱红梅</w:t>
            </w:r>
            <w:r/>
          </w:p>
        </w:tc>
        <w:tc>
          <w:tcPr>
            <w:shd w:val="clear" w:color="auto" w:fill="auto"/>
            <w:tcBorders>
              <w:left w:val="single" w:color="000000" w:sz="4" w:space="0"/>
              <w:top w:val="single" w:color="000000" w:sz="4" w:space="0"/>
              <w:right w:val="single" w:color="000000" w:sz="4" w:space="0"/>
              <w:bottom w:val="single" w:color="000000" w:sz="4" w:space="0"/>
            </w:tcBorders>
            <w:tcW w:w="1107" w:type="dxa"/>
            <w:vAlign w:val="center"/>
            <w:textDirection w:val="lrTb"/>
            <w:noWrap/>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2022.01-</w:t>
            </w:r>
            <w:r/>
          </w:p>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2023.12</w:t>
            </w:r>
            <w:r/>
          </w:p>
        </w:tc>
        <w:tc>
          <w:tcPr>
            <w:shd w:val="clear" w:color="auto" w:fill="auto"/>
            <w:tcBorders>
              <w:left w:val="single" w:color="000000" w:sz="4" w:space="0"/>
              <w:top w:val="single" w:color="000000" w:sz="4" w:space="0"/>
              <w:right w:val="single" w:color="000000" w:sz="4" w:space="0"/>
              <w:bottom w:val="single" w:color="000000" w:sz="4" w:space="0"/>
            </w:tcBorders>
            <w:tcW w:w="1126" w:type="dxa"/>
            <w:vAlign w:val="center"/>
            <w:textDirection w:val="lrTb"/>
            <w:noWrap/>
          </w:tcPr>
          <w:p>
            <w:pPr>
              <w:jc w:val="center"/>
              <w:widowControl/>
              <w:rPr>
                <w:rFonts w:ascii="楷体" w:hAnsi="楷体" w:cs="楷体" w:eastAsia="楷体"/>
                <w:sz w:val="22"/>
                <w:szCs w:val="22"/>
                <w:lang w:bidi="ar"/>
              </w:rPr>
            </w:pPr>
            <w:r>
              <w:rPr>
                <w:rFonts w:ascii="楷体" w:hAnsi="楷体" w:cs="楷体" w:eastAsia="楷体" w:hint="eastAsia"/>
                <w:sz w:val="22"/>
                <w:szCs w:val="22"/>
                <w:lang w:bidi="ar"/>
              </w:rPr>
              <w:t xml:space="preserve">1.0</w:t>
            </w:r>
            <w:r/>
          </w:p>
        </w:tc>
      </w:tr>
    </w:tbl>
    <w:p>
      <w:pPr>
        <w:jc w:val="left"/>
        <w:spacing w:lineRule="auto" w:line="480"/>
        <w:widowControl/>
        <w:rPr>
          <w:rFonts w:eastAsia="楷体_GB2312"/>
          <w:b/>
          <w:bCs/>
        </w:rPr>
      </w:pPr>
      <w:r>
        <w:rPr>
          <w:rFonts w:eastAsia="楷体_GB2312"/>
          <w:b/>
          <w:bCs/>
        </w:rPr>
      </w:r>
      <w:r/>
    </w:p>
    <w:p>
      <w:pPr>
        <w:ind w:firstLine="1687"/>
        <w:jc w:val="left"/>
        <w:spacing w:lineRule="auto" w:line="480"/>
        <w:widowControl/>
        <w:rPr>
          <w:rFonts w:ascii="Times New Roman" w:hAnsi="Times New Roman" w:cs="Times New Roman" w:eastAsia="楷体"/>
          <w:b/>
          <w:bCs/>
        </w:rPr>
      </w:pPr>
      <w:r>
        <w:rPr>
          <w:rFonts w:ascii="Times New Roman" w:hAnsi="Times New Roman" w:cs="Times New Roman" w:eastAsia="楷体"/>
          <w:b/>
          <w:bCs/>
        </w:rPr>
        <w:t xml:space="preserve">2022 </w:t>
      </w:r>
      <w:r>
        <w:rPr>
          <w:rFonts w:ascii="Times New Roman" w:hAnsi="Times New Roman" w:cs="Times New Roman" w:eastAsia="楷体"/>
          <w:b/>
          <w:bCs/>
        </w:rPr>
        <w:t xml:space="preserve">年中心教师发表教学论文情况表</w:t>
      </w:r>
      <w:r/>
    </w:p>
    <w:tbl>
      <w:tblPr>
        <w:tblStyle w:val="406"/>
        <w:tblW w:w="8897" w:type="dxa"/>
        <w:jc w:val="center"/>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874"/>
        <w:gridCol w:w="3251"/>
        <w:gridCol w:w="1783"/>
        <w:gridCol w:w="903"/>
        <w:gridCol w:w="2086"/>
      </w:tblGrid>
      <w:tr>
        <w:trPr>
          <w:jc w:val="center"/>
          <w:trHeight w:val="512"/>
        </w:trPr>
        <w:tc>
          <w:tcPr>
            <w:tcW w:w="874" w:type="dxa"/>
            <w:vAlign w:val="center"/>
            <w:textDirection w:val="lrTb"/>
            <w:noWrap w:val="false"/>
          </w:tcPr>
          <w:p>
            <w:pPr>
              <w:jc w:val="center"/>
              <w:widowControl/>
              <w:rPr>
                <w:rFonts w:ascii="宋体" w:hAnsi="宋体" w:cs="宋体" w:eastAsia="宋体"/>
                <w:b/>
                <w:bCs/>
                <w:lang w:bidi="ar"/>
              </w:rPr>
            </w:pPr>
            <w:r>
              <w:rPr>
                <w:rFonts w:ascii="宋体" w:hAnsi="宋体" w:cs="宋体" w:eastAsia="宋体" w:hint="eastAsia"/>
                <w:b/>
                <w:bCs/>
                <w:lang w:bidi="ar"/>
              </w:rPr>
              <w:t xml:space="preserve">序号</w:t>
            </w:r>
            <w:r/>
          </w:p>
        </w:tc>
        <w:tc>
          <w:tcPr>
            <w:tcW w:w="3251" w:type="dxa"/>
            <w:vAlign w:val="center"/>
            <w:textDirection w:val="lrTb"/>
            <w:noWrap w:val="false"/>
          </w:tcPr>
          <w:p>
            <w:pPr>
              <w:jc w:val="center"/>
              <w:widowControl/>
            </w:pPr>
            <w:r>
              <w:rPr>
                <w:rFonts w:ascii="宋体" w:hAnsi="宋体" w:cs="宋体" w:eastAsia="宋体" w:hint="eastAsia"/>
                <w:b/>
                <w:bCs/>
                <w:lang w:bidi="ar"/>
              </w:rPr>
              <w:t xml:space="preserve">论文题目</w:t>
            </w:r>
            <w:r/>
          </w:p>
        </w:tc>
        <w:tc>
          <w:tcPr>
            <w:tcW w:w="1783" w:type="dxa"/>
            <w:vAlign w:val="center"/>
            <w:textDirection w:val="lrTb"/>
            <w:noWrap w:val="false"/>
          </w:tcPr>
          <w:p>
            <w:pPr>
              <w:jc w:val="center"/>
              <w:widowControl/>
            </w:pPr>
            <w:r>
              <w:rPr>
                <w:rFonts w:ascii="宋体" w:hAnsi="宋体" w:cs="宋体" w:eastAsia="宋体" w:hint="eastAsia"/>
                <w:b/>
                <w:bCs/>
                <w:lang w:bidi="ar"/>
              </w:rPr>
              <w:t xml:space="preserve">期刊名称</w:t>
            </w:r>
            <w:r/>
          </w:p>
        </w:tc>
        <w:tc>
          <w:tcPr>
            <w:tcW w:w="903" w:type="dxa"/>
            <w:vAlign w:val="center"/>
            <w:textDirection w:val="lrTb"/>
            <w:noWrap w:val="false"/>
          </w:tcPr>
          <w:p>
            <w:pPr>
              <w:jc w:val="center"/>
              <w:widowControl/>
            </w:pPr>
            <w:r>
              <w:rPr>
                <w:rFonts w:ascii="宋体" w:hAnsi="宋体" w:cs="宋体" w:eastAsia="宋体" w:hint="eastAsia"/>
                <w:b/>
                <w:bCs/>
                <w:lang w:bidi="ar"/>
              </w:rPr>
              <w:t xml:space="preserve">作者</w:t>
            </w:r>
            <w:r/>
          </w:p>
        </w:tc>
        <w:tc>
          <w:tcPr>
            <w:tcW w:w="2086" w:type="dxa"/>
            <w:vAlign w:val="center"/>
            <w:textDirection w:val="lrTb"/>
            <w:noWrap w:val="false"/>
          </w:tcPr>
          <w:p>
            <w:pPr>
              <w:jc w:val="center"/>
              <w:widowControl/>
            </w:pPr>
            <w:r>
              <w:rPr>
                <w:rFonts w:ascii="宋体" w:hAnsi="宋体" w:cs="宋体" w:eastAsia="宋体" w:hint="eastAsia"/>
                <w:b/>
                <w:bCs/>
                <w:lang w:bidi="ar"/>
              </w:rPr>
              <w:t xml:space="preserve">年卷期页码</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1</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基于OBE理念的药物分析实验课程的设计及应用</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中国继续医学教育</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张正伟</w:t>
            </w:r>
            <w:r/>
          </w:p>
        </w:tc>
        <w:tc>
          <w:tcPr>
            <w:tcW w:w="2086" w:type="dxa"/>
            <w:vAlign w:val="center"/>
            <w:textDirection w:val="lrTb"/>
            <w:noWrap w:val="false"/>
          </w:tcPr>
          <w:p>
            <w:pPr>
              <w:jc w:val="left"/>
              <w:widowControl/>
              <w:rPr>
                <w:sz w:val="20"/>
                <w:szCs w:val="20"/>
              </w:rPr>
            </w:pPr>
            <w:r>
              <w:rPr>
                <w:rFonts w:ascii="宋体" w:hAnsi="宋体" w:cs="宋体" w:eastAsia="宋体" w:hint="eastAsia"/>
                <w:sz w:val="20"/>
                <w:szCs w:val="20"/>
                <w:lang w:bidi="ar"/>
              </w:rPr>
              <w:t xml:space="preserve">2022，14（9）：38-42</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2</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基于翻转课堂的体内药物分析课程混合式教学模式实施</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西部素质教育</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张正伟</w:t>
            </w:r>
            <w:r/>
          </w:p>
        </w:tc>
        <w:tc>
          <w:tcPr>
            <w:tcW w:w="2086" w:type="dxa"/>
            <w:vAlign w:val="center"/>
            <w:textDirection w:val="lrTb"/>
            <w:noWrap w:val="false"/>
          </w:tcPr>
          <w:p>
            <w:pPr>
              <w:jc w:val="left"/>
              <w:widowControl/>
              <w:rPr>
                <w:rFonts w:ascii="宋体" w:hAnsi="宋体" w:cs="宋体" w:eastAsia="宋体"/>
                <w:sz w:val="20"/>
                <w:szCs w:val="20"/>
                <w:lang w:bidi="ar"/>
              </w:rPr>
            </w:pPr>
            <w:r>
              <w:rPr>
                <w:rFonts w:ascii="宋体" w:hAnsi="宋体" w:cs="宋体" w:eastAsia="宋体" w:hint="eastAsia"/>
                <w:sz w:val="20"/>
                <w:szCs w:val="20"/>
                <w:lang w:bidi="ar"/>
              </w:rPr>
              <w:t xml:space="preserve">2022,8(6):122-124</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3</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思维导图在“药物分析”教学中的应用探讨</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教育教学论坛</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张正伟</w:t>
            </w:r>
            <w:r/>
          </w:p>
        </w:tc>
        <w:tc>
          <w:tcPr>
            <w:tcW w:w="2086" w:type="dxa"/>
            <w:vAlign w:val="center"/>
            <w:textDirection w:val="lrTb"/>
            <w:noWrap w:val="false"/>
          </w:tcPr>
          <w:p>
            <w:pPr>
              <w:jc w:val="left"/>
              <w:widowControl/>
              <w:rPr>
                <w:rFonts w:ascii="宋体" w:hAnsi="宋体" w:cs="宋体" w:eastAsia="宋体"/>
                <w:sz w:val="20"/>
                <w:szCs w:val="20"/>
                <w:lang w:bidi="ar"/>
              </w:rPr>
            </w:pPr>
            <w:r>
              <w:rPr>
                <w:rFonts w:ascii="宋体" w:hAnsi="宋体" w:cs="宋体" w:eastAsia="宋体" w:hint="eastAsia"/>
                <w:sz w:val="20"/>
                <w:szCs w:val="20"/>
                <w:lang w:bidi="ar"/>
              </w:rPr>
              <w:t xml:space="preserve">2022，8（31）：85-88</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4</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翻转课堂教学法在大一新生无机及分析化学教学中的运用</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广州化工</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陈志琼</w:t>
            </w:r>
            <w:r/>
          </w:p>
        </w:tc>
        <w:tc>
          <w:tcPr>
            <w:tcW w:w="2086" w:type="dxa"/>
            <w:vAlign w:val="center"/>
            <w:textDirection w:val="lrTb"/>
            <w:noWrap w:val="false"/>
          </w:tcPr>
          <w:p>
            <w:pPr>
              <w:jc w:val="left"/>
              <w:widowControl/>
              <w:rPr>
                <w:sz w:val="20"/>
                <w:szCs w:val="20"/>
              </w:rPr>
            </w:pPr>
            <w:r>
              <w:rPr>
                <w:rFonts w:ascii="宋体" w:hAnsi="宋体" w:cs="宋体" w:eastAsia="宋体" w:hint="eastAsia"/>
                <w:sz w:val="20"/>
                <w:szCs w:val="20"/>
                <w:lang w:bidi="ar"/>
              </w:rPr>
              <w:t xml:space="preserve">2022,50(2):116-117</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5</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药理学课程思政建设初探：以“阿托品及其类似生物碱”为例</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检验医学与临床</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蒋青松</w:t>
            </w:r>
            <w:r/>
          </w:p>
        </w:tc>
        <w:tc>
          <w:tcPr>
            <w:tcW w:w="2086" w:type="dxa"/>
            <w:vAlign w:val="center"/>
            <w:textDirection w:val="lrTb"/>
            <w:noWrap w:val="false"/>
          </w:tcPr>
          <w:p>
            <w:pPr>
              <w:jc w:val="left"/>
              <w:widowControl/>
              <w:rPr>
                <w:rFonts w:ascii="宋体" w:hAnsi="宋体" w:cs="宋体" w:eastAsia="宋体"/>
                <w:sz w:val="20"/>
                <w:szCs w:val="20"/>
                <w:lang w:bidi="ar"/>
              </w:rPr>
            </w:pPr>
            <w:r>
              <w:rPr>
                <w:rFonts w:ascii="宋体" w:hAnsi="宋体" w:cs="宋体" w:eastAsia="宋体" w:hint="eastAsia"/>
                <w:sz w:val="20"/>
                <w:szCs w:val="20"/>
                <w:lang w:bidi="ar"/>
              </w:rPr>
              <w:t xml:space="preserve">2022,19(5):710-711</w:t>
            </w:r>
            <w:r/>
          </w:p>
        </w:tc>
      </w:tr>
      <w:tr>
        <w:trPr>
          <w:jc w:val="center"/>
        </w:trPr>
        <w:tc>
          <w:tcPr>
            <w:tcW w:w="874"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6</w:t>
            </w:r>
            <w:r/>
          </w:p>
        </w:tc>
        <w:tc>
          <w:tcPr>
            <w:tcW w:w="3251"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“双一流”背景下医药院校举办药学实验技能大赛探讨-以重庆医科大学药学院为例</w:t>
            </w:r>
            <w:r/>
          </w:p>
        </w:tc>
        <w:tc>
          <w:tcPr>
            <w:tcW w:w="178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西部素质教育</w:t>
            </w:r>
            <w:r/>
          </w:p>
        </w:tc>
        <w:tc>
          <w:tcPr>
            <w:tcW w:w="903" w:type="dxa"/>
            <w:vAlign w:val="center"/>
            <w:textDirection w:val="lrTb"/>
            <w:noWrap w:val="false"/>
          </w:tcPr>
          <w:p>
            <w:pPr>
              <w:jc w:val="left"/>
              <w:widowControl/>
              <w:rPr>
                <w:rFonts w:ascii="楷体" w:hAnsi="楷体" w:cs="楷体" w:eastAsia="楷体"/>
                <w:sz w:val="22"/>
                <w:szCs w:val="22"/>
                <w:lang w:bidi="ar"/>
              </w:rPr>
            </w:pPr>
            <w:r>
              <w:rPr>
                <w:rFonts w:ascii="楷体" w:hAnsi="楷体" w:cs="楷体" w:eastAsia="楷体" w:hint="eastAsia"/>
                <w:sz w:val="22"/>
                <w:szCs w:val="22"/>
                <w:lang w:bidi="ar"/>
              </w:rPr>
              <w:t xml:space="preserve">陈华黎</w:t>
            </w:r>
            <w:r/>
          </w:p>
        </w:tc>
        <w:tc>
          <w:tcPr>
            <w:tcW w:w="2086" w:type="dxa"/>
            <w:vAlign w:val="center"/>
            <w:textDirection w:val="lrTb"/>
            <w:noWrap w:val="false"/>
          </w:tcPr>
          <w:p>
            <w:pPr>
              <w:jc w:val="left"/>
              <w:widowControl/>
              <w:rPr>
                <w:rFonts w:ascii="宋体" w:hAnsi="宋体" w:cs="宋体" w:eastAsia="宋体"/>
                <w:sz w:val="20"/>
                <w:szCs w:val="20"/>
                <w:lang w:bidi="ar"/>
              </w:rPr>
            </w:pPr>
            <w:r>
              <w:rPr>
                <w:rFonts w:ascii="宋体" w:hAnsi="宋体" w:cs="宋体" w:eastAsia="宋体" w:hint="eastAsia"/>
                <w:sz w:val="20"/>
                <w:szCs w:val="20"/>
                <w:lang w:bidi="ar"/>
              </w:rPr>
              <w:t xml:space="preserve">2022,8（14）：148-182</w:t>
            </w:r>
            <w:r/>
          </w:p>
        </w:tc>
      </w:tr>
    </w:tbl>
    <w:p>
      <w:pPr>
        <w:ind w:firstLine="2650"/>
        <w:spacing w:lineRule="auto" w:line="480"/>
        <w:widowControl/>
        <w:rPr>
          <w:rFonts w:ascii="Times New Roman" w:hAnsi="Times New Roman" w:cs="Times New Roman" w:eastAsia="楷体"/>
          <w:b/>
          <w:bCs/>
        </w:rPr>
      </w:pPr>
      <w:r>
        <w:rPr>
          <w:rFonts w:ascii="Times New Roman" w:hAnsi="Times New Roman" w:cs="Times New Roman" w:eastAsia="楷体" w:hint="eastAsia"/>
          <w:b/>
          <w:bCs/>
        </w:rPr>
        <w:t xml:space="preserve">2022</w:t>
      </w:r>
      <w:r>
        <w:rPr>
          <w:rFonts w:ascii="Times New Roman" w:hAnsi="Times New Roman" w:cs="Times New Roman" w:eastAsia="楷体" w:hint="eastAsia"/>
          <w:b/>
          <w:bCs/>
        </w:rPr>
        <w:t xml:space="preserve">年中心教师编写教材情况</w:t>
      </w:r>
      <w:r/>
    </w:p>
    <w:tbl>
      <w:tblPr>
        <w:tblStyle w:val="406"/>
        <w:tblW w:w="9745" w:type="dxa"/>
        <w:tblBorders>
          <w:left w:val="single" w:sz="4" w:space="0" w:color="auto"/>
          <w:top w:val="single" w:sz="4" w:space="0" w:color="auto"/>
          <w:right w:val="single" w:sz="4" w:space="0" w:color="auto"/>
          <w:bottom w:val="single" w:sz="4" w:space="0" w:color="auto"/>
          <w:insideV w:val="single" w:sz="4" w:space="0" w:color="auto"/>
          <w:insideH w:val="single" w:sz="4" w:space="0" w:color="auto"/>
        </w:tblBorders>
        <w:tblLayout w:type="fixed"/>
        <w:tblLook w:val="04A0" w:firstRow="1" w:lastRow="0" w:firstColumn="1" w:lastColumn="0" w:noHBand="0" w:noVBand="1"/>
      </w:tblPr>
      <w:tblGrid>
        <w:gridCol w:w="828"/>
        <w:gridCol w:w="1173"/>
        <w:gridCol w:w="1246"/>
        <w:gridCol w:w="1698"/>
        <w:gridCol w:w="1265"/>
        <w:gridCol w:w="1163"/>
        <w:gridCol w:w="1172"/>
        <w:gridCol w:w="1200"/>
      </w:tblGrid>
      <w:tr>
        <w:trPr/>
        <w:tc>
          <w:tcPr>
            <w:tcW w:w="828" w:type="dxa"/>
            <w:vAlign w:val="center"/>
            <w:textDirection w:val="lrTb"/>
            <w:noWrap w:val="false"/>
          </w:tcPr>
          <w:p>
            <w:pPr>
              <w:jc w:val="center"/>
              <w:spacing w:lineRule="auto" w:line="360"/>
              <w:rPr>
                <w:b/>
                <w:bCs/>
                <w:sz w:val="20"/>
                <w:szCs w:val="20"/>
              </w:rPr>
            </w:pPr>
            <w:r>
              <w:rPr>
                <w:rFonts w:hint="eastAsia"/>
                <w:b/>
                <w:bCs/>
                <w:sz w:val="20"/>
                <w:szCs w:val="20"/>
              </w:rPr>
              <w:t xml:space="preserve">序号</w:t>
            </w:r>
            <w:r/>
          </w:p>
        </w:tc>
        <w:tc>
          <w:tcPr>
            <w:tcW w:w="1173" w:type="dxa"/>
            <w:vAlign w:val="center"/>
            <w:textDirection w:val="lrTb"/>
            <w:noWrap w:val="false"/>
          </w:tcPr>
          <w:p>
            <w:pPr>
              <w:jc w:val="center"/>
              <w:spacing w:lineRule="auto" w:line="360"/>
              <w:rPr>
                <w:b/>
                <w:bCs/>
                <w:sz w:val="20"/>
                <w:szCs w:val="20"/>
              </w:rPr>
            </w:pPr>
            <w:r>
              <w:rPr>
                <w:rFonts w:hint="eastAsia"/>
                <w:b/>
                <w:bCs/>
                <w:sz w:val="20"/>
                <w:szCs w:val="20"/>
              </w:rPr>
              <w:t xml:space="preserve">教材名称</w:t>
            </w:r>
            <w:r/>
          </w:p>
        </w:tc>
        <w:tc>
          <w:tcPr>
            <w:tcW w:w="1246" w:type="dxa"/>
            <w:vAlign w:val="center"/>
            <w:textDirection w:val="lrTb"/>
            <w:noWrap w:val="false"/>
          </w:tcPr>
          <w:p>
            <w:pPr>
              <w:jc w:val="left"/>
              <w:widowControl/>
              <w:rPr>
                <w:b/>
                <w:bCs/>
                <w:sz w:val="20"/>
                <w:szCs w:val="20"/>
              </w:rPr>
            </w:pPr>
            <w:r>
              <w:rPr>
                <w:rFonts w:hint="eastAsia"/>
                <w:b/>
                <w:bCs/>
                <w:sz w:val="20"/>
                <w:szCs w:val="20"/>
              </w:rPr>
              <w:t xml:space="preserve">出版社</w:t>
            </w:r>
            <w:r/>
          </w:p>
        </w:tc>
        <w:tc>
          <w:tcPr>
            <w:tcW w:w="1698" w:type="dxa"/>
            <w:vAlign w:val="center"/>
            <w:textDirection w:val="lrTb"/>
            <w:noWrap w:val="false"/>
          </w:tcPr>
          <w:p>
            <w:pPr>
              <w:jc w:val="left"/>
              <w:spacing w:lineRule="auto" w:line="360"/>
              <w:rPr>
                <w:b/>
                <w:bCs/>
                <w:sz w:val="20"/>
                <w:szCs w:val="20"/>
              </w:rPr>
            </w:pPr>
            <w:r>
              <w:rPr>
                <w:rFonts w:hint="eastAsia"/>
                <w:b/>
                <w:bCs/>
                <w:sz w:val="20"/>
                <w:szCs w:val="20"/>
              </w:rPr>
              <w:t xml:space="preserve">教材类别</w:t>
            </w:r>
            <w:r/>
          </w:p>
        </w:tc>
        <w:tc>
          <w:tcPr>
            <w:tcW w:w="1265" w:type="dxa"/>
            <w:vAlign w:val="center"/>
            <w:textDirection w:val="lrTb"/>
            <w:noWrap w:val="false"/>
          </w:tcPr>
          <w:p>
            <w:pPr>
              <w:jc w:val="center"/>
              <w:spacing w:lineRule="auto" w:line="360"/>
              <w:rPr>
                <w:b/>
                <w:bCs/>
                <w:sz w:val="20"/>
                <w:szCs w:val="20"/>
              </w:rPr>
            </w:pPr>
            <w:r>
              <w:rPr>
                <w:rFonts w:hint="eastAsia"/>
                <w:b/>
                <w:bCs/>
                <w:sz w:val="20"/>
                <w:szCs w:val="20"/>
              </w:rPr>
              <w:t xml:space="preserve">书号</w:t>
            </w:r>
            <w:r>
              <w:rPr>
                <w:rFonts w:hint="eastAsia"/>
                <w:b/>
                <w:bCs/>
                <w:sz w:val="20"/>
                <w:szCs w:val="20"/>
              </w:rPr>
              <w:t xml:space="preserve"> ISBN</w:t>
            </w:r>
            <w:r/>
          </w:p>
        </w:tc>
        <w:tc>
          <w:tcPr>
            <w:tcW w:w="1163" w:type="dxa"/>
            <w:vAlign w:val="center"/>
            <w:textDirection w:val="lrTb"/>
            <w:noWrap w:val="false"/>
          </w:tcPr>
          <w:p>
            <w:pPr>
              <w:jc w:val="center"/>
              <w:spacing w:lineRule="auto" w:line="360"/>
              <w:rPr>
                <w:b/>
                <w:bCs/>
                <w:sz w:val="20"/>
                <w:szCs w:val="20"/>
              </w:rPr>
            </w:pPr>
            <w:r>
              <w:rPr>
                <w:rFonts w:hint="eastAsia"/>
                <w:b/>
                <w:bCs/>
                <w:sz w:val="20"/>
                <w:szCs w:val="20"/>
              </w:rPr>
              <w:t xml:space="preserve">出版年月</w:t>
            </w:r>
            <w:r/>
          </w:p>
        </w:tc>
        <w:tc>
          <w:tcPr>
            <w:tcW w:w="1172" w:type="dxa"/>
            <w:vAlign w:val="center"/>
            <w:textDirection w:val="lrTb"/>
            <w:noWrap w:val="false"/>
          </w:tcPr>
          <w:p>
            <w:pPr>
              <w:jc w:val="center"/>
              <w:spacing w:lineRule="auto" w:line="360"/>
              <w:rPr>
                <w:b/>
                <w:bCs/>
                <w:sz w:val="20"/>
                <w:szCs w:val="20"/>
              </w:rPr>
            </w:pPr>
            <w:r>
              <w:rPr>
                <w:rFonts w:hint="eastAsia"/>
                <w:b/>
                <w:bCs/>
                <w:sz w:val="20"/>
                <w:szCs w:val="20"/>
              </w:rPr>
              <w:t xml:space="preserve">教师姓名</w:t>
            </w:r>
            <w:r/>
          </w:p>
        </w:tc>
        <w:tc>
          <w:tcPr>
            <w:tcW w:w="1200" w:type="dxa"/>
            <w:vAlign w:val="center"/>
            <w:textDirection w:val="lrTb"/>
            <w:noWrap w:val="false"/>
          </w:tcPr>
          <w:p>
            <w:pPr>
              <w:jc w:val="center"/>
              <w:spacing w:lineRule="auto" w:line="360"/>
              <w:rPr>
                <w:b/>
                <w:bCs/>
                <w:sz w:val="20"/>
                <w:szCs w:val="20"/>
              </w:rPr>
            </w:pPr>
            <w:r>
              <w:rPr>
                <w:rFonts w:hint="eastAsia"/>
                <w:b/>
                <w:bCs/>
                <w:sz w:val="20"/>
                <w:szCs w:val="20"/>
              </w:rPr>
              <w:t xml:space="preserve">参编</w:t>
            </w:r>
            <w:r/>
          </w:p>
          <w:p>
            <w:pPr>
              <w:jc w:val="center"/>
              <w:spacing w:lineRule="auto" w:line="360"/>
              <w:rPr>
                <w:b/>
                <w:bCs/>
                <w:sz w:val="20"/>
                <w:szCs w:val="20"/>
              </w:rPr>
            </w:pPr>
            <w:r>
              <w:rPr>
                <w:rFonts w:hint="eastAsia"/>
                <w:b/>
                <w:bCs/>
                <w:sz w:val="20"/>
                <w:szCs w:val="20"/>
              </w:rPr>
              <w:t xml:space="preserve">情况</w:t>
            </w:r>
            <w:r/>
          </w:p>
        </w:tc>
      </w:tr>
      <w:tr>
        <w:trPr/>
        <w:tc>
          <w:tcPr>
            <w:tcW w:w="828"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1</w:t>
            </w:r>
            <w:r/>
          </w:p>
        </w:tc>
        <w:tc>
          <w:tcPr>
            <w:tcW w:w="1173"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药理学</w:t>
            </w:r>
            <w:r/>
          </w:p>
          <w:p>
            <w:pPr>
              <w:jc w:val="center"/>
              <w:widowControl/>
              <w:rPr>
                <w:rFonts w:ascii="楷体_GB2312" w:cs="楷体_GB2312" w:eastAsia="楷体_GB2312"/>
                <w:b/>
                <w:bCs/>
              </w:rPr>
            </w:pPr>
            <w:r>
              <w:rPr>
                <w:rFonts w:ascii="宋体" w:hAnsi="宋体" w:cs="宋体" w:eastAsia="宋体" w:hint="eastAsia"/>
                <w:sz w:val="20"/>
                <w:szCs w:val="20"/>
                <w:lang w:bidi="ar"/>
              </w:rPr>
              <w:t xml:space="preserve">（第5版）</w:t>
            </w:r>
            <w:r/>
          </w:p>
        </w:tc>
        <w:tc>
          <w:tcPr>
            <w:tcW w:w="1246" w:type="dxa"/>
            <w:vAlign w:val="center"/>
            <w:textDirection w:val="lrTb"/>
            <w:noWrap w:val="false"/>
          </w:tcPr>
          <w:p>
            <w:pPr>
              <w:jc w:val="center"/>
              <w:widowControl/>
              <w:rPr>
                <w:rFonts w:ascii="宋体" w:hAnsi="宋体" w:cs="宋体" w:eastAsia="宋体"/>
                <w:sz w:val="19"/>
                <w:szCs w:val="19"/>
                <w:lang w:bidi="ar"/>
              </w:rPr>
            </w:pPr>
            <w:r>
              <w:rPr>
                <w:rFonts w:ascii="宋体" w:hAnsi="宋体" w:cs="宋体" w:eastAsia="宋体" w:hint="eastAsia"/>
                <w:sz w:val="20"/>
                <w:szCs w:val="20"/>
                <w:lang w:bidi="ar"/>
              </w:rPr>
              <w:t xml:space="preserve">人民卫生出版社</w:t>
            </w:r>
            <w:r/>
          </w:p>
        </w:tc>
        <w:tc>
          <w:tcPr>
            <w:tcW w:w="1698"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国家级出版社出版的规划教材</w:t>
            </w:r>
            <w:r/>
          </w:p>
        </w:tc>
        <w:tc>
          <w:tcPr>
            <w:tcW w:w="1265"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978-7-117-33138-8</w:t>
            </w:r>
            <w:r/>
          </w:p>
        </w:tc>
        <w:tc>
          <w:tcPr>
            <w:tcW w:w="1163"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2022.06</w:t>
            </w:r>
            <w:r/>
          </w:p>
        </w:tc>
        <w:tc>
          <w:tcPr>
            <w:tcW w:w="1172"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杨俊卿</w:t>
            </w:r>
            <w:r/>
          </w:p>
        </w:tc>
        <w:tc>
          <w:tcPr>
            <w:tcW w:w="1200"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主编</w:t>
            </w:r>
            <w:r/>
          </w:p>
        </w:tc>
      </w:tr>
      <w:tr>
        <w:trPr/>
        <w:tc>
          <w:tcPr>
            <w:tcW w:w="828"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2</w:t>
            </w:r>
            <w:r/>
          </w:p>
        </w:tc>
        <w:tc>
          <w:tcPr>
            <w:tcW w:w="1173"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人体概述</w:t>
            </w:r>
            <w:r/>
          </w:p>
          <w:p>
            <w:pPr>
              <w:jc w:val="center"/>
              <w:widowControl/>
            </w:pPr>
            <w:r>
              <w:rPr>
                <w:rFonts w:ascii="宋体" w:hAnsi="宋体" w:cs="宋体" w:eastAsia="宋体" w:hint="eastAsia"/>
                <w:sz w:val="20"/>
                <w:szCs w:val="20"/>
                <w:lang w:bidi="ar"/>
              </w:rPr>
              <w:t xml:space="preserve">（第2版）</w:t>
            </w:r>
            <w:r/>
          </w:p>
        </w:tc>
        <w:tc>
          <w:tcPr>
            <w:tcW w:w="1246"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人民卫生出版社</w:t>
            </w:r>
            <w:r/>
          </w:p>
        </w:tc>
        <w:tc>
          <w:tcPr>
            <w:tcW w:w="1698"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重医认定的国家级规划教材</w:t>
            </w:r>
            <w:r/>
          </w:p>
        </w:tc>
        <w:tc>
          <w:tcPr>
            <w:tcW w:w="1265"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978-7-89456-934-9</w:t>
            </w:r>
            <w:r/>
          </w:p>
        </w:tc>
        <w:tc>
          <w:tcPr>
            <w:tcW w:w="1163"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2022.08</w:t>
            </w:r>
            <w:r/>
          </w:p>
        </w:tc>
        <w:tc>
          <w:tcPr>
            <w:tcW w:w="1172"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杨俊卿</w:t>
            </w:r>
            <w:r/>
          </w:p>
        </w:tc>
        <w:tc>
          <w:tcPr>
            <w:tcW w:w="1200"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副主编</w:t>
            </w:r>
            <w:r/>
          </w:p>
        </w:tc>
      </w:tr>
      <w:tr>
        <w:trPr/>
        <w:tc>
          <w:tcPr>
            <w:tcW w:w="828" w:type="dxa"/>
            <w:vAlign w:val="center"/>
            <w:textDirection w:val="lrTb"/>
            <w:noWrap w:val="false"/>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3</w:t>
            </w:r>
            <w:r/>
          </w:p>
        </w:tc>
        <w:tc>
          <w:tcPr>
            <w:tcW w:w="1173"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基础化学（第1版）</w:t>
            </w:r>
            <w:r/>
          </w:p>
        </w:tc>
        <w:tc>
          <w:tcPr>
            <w:tcW w:w="1246"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科学出版社</w:t>
            </w:r>
            <w:r/>
          </w:p>
        </w:tc>
        <w:tc>
          <w:tcPr>
            <w:tcW w:w="1698"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国家级出版社出版的规划教材</w:t>
            </w:r>
            <w:r/>
          </w:p>
        </w:tc>
        <w:tc>
          <w:tcPr>
            <w:tcW w:w="1265"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978-7-03-068877-4</w:t>
            </w:r>
            <w:r/>
          </w:p>
        </w:tc>
        <w:tc>
          <w:tcPr>
            <w:tcW w:w="1163"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2022.01</w:t>
            </w:r>
            <w:r/>
          </w:p>
        </w:tc>
        <w:tc>
          <w:tcPr>
            <w:tcW w:w="1172"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陈志琼</w:t>
            </w:r>
            <w:r/>
          </w:p>
        </w:tc>
        <w:tc>
          <w:tcPr>
            <w:tcW w:w="1200" w:type="dxa"/>
            <w:vAlign w:val="center"/>
            <w:textDirection w:val="lrTb"/>
            <w:noWrap w:val="false"/>
          </w:tcPr>
          <w:p>
            <w:pPr>
              <w:jc w:val="center"/>
              <w:widowControl/>
              <w:rPr>
                <w:rFonts w:ascii="楷体_GB2312" w:cs="楷体_GB2312" w:eastAsia="楷体_GB2312"/>
                <w:b/>
                <w:bCs/>
              </w:rPr>
            </w:pPr>
            <w:r>
              <w:rPr>
                <w:rFonts w:ascii="宋体" w:hAnsi="宋体" w:cs="宋体" w:eastAsia="宋体" w:hint="eastAsia"/>
                <w:sz w:val="20"/>
                <w:szCs w:val="20"/>
                <w:lang w:bidi="ar"/>
              </w:rPr>
              <w:t xml:space="preserve">参编</w:t>
            </w:r>
            <w:r/>
          </w:p>
        </w:tc>
      </w:tr>
    </w:tbl>
    <w:p>
      <w:pPr>
        <w:numPr>
          <w:ilvl w:val="0"/>
          <w:numId w:val="1"/>
        </w:numPr>
        <w:ind w:firstLine="560"/>
        <w:spacing w:lineRule="auto" w:line="360"/>
        <w:rPr>
          <w:rFonts w:ascii="楷体" w:hAnsi="楷体" w:cs="仿宋_GB2312" w:eastAsia="楷体"/>
          <w:sz w:val="28"/>
          <w:szCs w:val="28"/>
        </w:rPr>
      </w:pPr>
      <w:r>
        <w:rPr>
          <w:rFonts w:ascii="楷体" w:hAnsi="楷体" w:cs="仿宋_GB2312" w:eastAsia="楷体" w:hint="eastAsia"/>
          <w:sz w:val="28"/>
          <w:szCs w:val="28"/>
        </w:rPr>
        <w:t xml:space="preserve">科学研究等情况</w:t>
      </w:r>
      <w:r/>
    </w:p>
    <w:p>
      <w:pPr>
        <w:pStyle w:val="400"/>
        <w:ind w:firstLine="482"/>
        <w:spacing w:lineRule="auto" w:line="360"/>
        <w:rPr>
          <w:rFonts w:eastAsia="楷体_GB2312" w:hint="default"/>
          <w:sz w:val="24"/>
          <w:szCs w:val="24"/>
        </w:rPr>
      </w:pPr>
      <w:r>
        <w:rPr>
          <w:rFonts w:ascii="Calibri" w:hAnsi="Calibri" w:cs="Calibri" w:eastAsia="楷体_GB2312"/>
          <w:b/>
          <w:bCs/>
          <w:sz w:val="24"/>
          <w:szCs w:val="24"/>
        </w:rPr>
        <w:t xml:space="preserve">科研项目承建能力进一步提升</w:t>
      </w:r>
      <w:r>
        <w:rPr>
          <w:rFonts w:eastAsia="楷体_GB2312" w:hint="default"/>
          <w:sz w:val="24"/>
          <w:szCs w:val="24"/>
        </w:rPr>
        <w:t xml:space="preserve">：中心全年配合药学院组织申报国家自然科学基金、重庆市自然科学基金等项目</w:t>
      </w:r>
      <w:r>
        <w:rPr>
          <w:rFonts w:eastAsia="楷体_GB2312" w:hint="default"/>
          <w:sz w:val="24"/>
          <w:szCs w:val="24"/>
        </w:rPr>
        <w:t xml:space="preserve">77</w:t>
      </w:r>
      <w:r>
        <w:rPr>
          <w:rFonts w:eastAsia="楷体_GB2312" w:hint="default"/>
          <w:sz w:val="24"/>
          <w:szCs w:val="24"/>
        </w:rPr>
        <w:t xml:space="preserve">项，获各类纵向科研项目</w:t>
      </w:r>
      <w:r>
        <w:rPr>
          <w:rFonts w:eastAsia="楷体_GB2312" w:hint="default"/>
          <w:sz w:val="24"/>
          <w:szCs w:val="24"/>
        </w:rPr>
        <w:t xml:space="preserve">25</w:t>
      </w:r>
      <w:r>
        <w:rPr>
          <w:rFonts w:eastAsia="楷体_GB2312" w:hint="default"/>
          <w:sz w:val="24"/>
          <w:szCs w:val="24"/>
        </w:rPr>
        <w:t xml:space="preserve">项，批准经费</w:t>
      </w:r>
      <w:r>
        <w:rPr>
          <w:rFonts w:eastAsia="楷体_GB2312" w:hint="default"/>
          <w:sz w:val="24"/>
          <w:szCs w:val="24"/>
        </w:rPr>
        <w:t xml:space="preserve">409</w:t>
      </w:r>
      <w:r>
        <w:rPr>
          <w:rFonts w:eastAsia="楷体_GB2312" w:hint="default"/>
          <w:sz w:val="24"/>
          <w:szCs w:val="24"/>
        </w:rPr>
        <w:t xml:space="preserve">万元。其中，中心首次获批国家重点研发计划子课题</w:t>
      </w:r>
      <w:r>
        <w:rPr>
          <w:rFonts w:eastAsia="楷体_GB2312" w:hint="default"/>
          <w:sz w:val="24"/>
          <w:szCs w:val="24"/>
        </w:rPr>
        <w:t xml:space="preserve">1</w:t>
      </w:r>
      <w:r>
        <w:rPr>
          <w:rFonts w:eastAsia="楷体_GB2312" w:hint="default"/>
          <w:sz w:val="24"/>
          <w:szCs w:val="24"/>
        </w:rPr>
        <w:t xml:space="preserve">项；科技部外国专家科研项目</w:t>
      </w:r>
      <w:r>
        <w:rPr>
          <w:rFonts w:eastAsia="楷体_GB2312" w:hint="default"/>
          <w:sz w:val="24"/>
          <w:szCs w:val="24"/>
        </w:rPr>
        <w:t xml:space="preserve">1</w:t>
      </w:r>
      <w:r>
        <w:rPr>
          <w:rFonts w:eastAsia="楷体_GB2312" w:hint="default"/>
          <w:sz w:val="24"/>
          <w:szCs w:val="24"/>
        </w:rPr>
        <w:t xml:space="preserve">项；教育部人文社科研究专项</w:t>
      </w:r>
      <w:r>
        <w:rPr>
          <w:rFonts w:eastAsia="楷体_GB2312" w:hint="default"/>
          <w:sz w:val="24"/>
          <w:szCs w:val="24"/>
        </w:rPr>
        <w:t xml:space="preserve">1</w:t>
      </w:r>
      <w:r>
        <w:rPr>
          <w:rFonts w:eastAsia="楷体_GB2312" w:hint="default"/>
          <w:sz w:val="24"/>
          <w:szCs w:val="24"/>
        </w:rPr>
        <w:t xml:space="preserve">项。国家自然科学基金青年科学基金项目</w:t>
      </w:r>
      <w:r>
        <w:rPr>
          <w:rFonts w:eastAsia="楷体_GB2312" w:hint="default"/>
          <w:sz w:val="24"/>
          <w:szCs w:val="24"/>
        </w:rPr>
        <w:t xml:space="preserve">5</w:t>
      </w:r>
      <w:r>
        <w:rPr>
          <w:rFonts w:eastAsia="楷体_GB2312" w:hint="default"/>
          <w:sz w:val="24"/>
          <w:szCs w:val="24"/>
        </w:rPr>
        <w:t xml:space="preserve">项；国家外国专家科研项目</w:t>
      </w:r>
      <w:r>
        <w:rPr>
          <w:rFonts w:eastAsia="楷体_GB2312" w:hint="default"/>
          <w:sz w:val="24"/>
          <w:szCs w:val="24"/>
        </w:rPr>
        <w:t xml:space="preserve">1</w:t>
      </w:r>
      <w:r>
        <w:rPr>
          <w:rFonts w:eastAsia="楷体_GB2312" w:hint="default"/>
          <w:sz w:val="24"/>
          <w:szCs w:val="24"/>
        </w:rPr>
        <w:t xml:space="preserve">项；教育部人文社科研究专项</w:t>
      </w:r>
      <w:r>
        <w:rPr>
          <w:rFonts w:eastAsia="楷体_GB2312" w:hint="default"/>
          <w:sz w:val="24"/>
          <w:szCs w:val="24"/>
        </w:rPr>
        <w:t xml:space="preserve">1</w:t>
      </w:r>
      <w:r>
        <w:rPr>
          <w:rFonts w:eastAsia="楷体_GB2312" w:hint="default"/>
          <w:sz w:val="24"/>
          <w:szCs w:val="24"/>
        </w:rPr>
        <w:t xml:space="preserve">项；重庆市自然科学基</w:t>
      </w:r>
      <w:r>
        <w:rPr>
          <w:rFonts w:eastAsia="楷体_GB2312" w:hint="default"/>
          <w:sz w:val="24"/>
          <w:szCs w:val="24"/>
        </w:rPr>
        <w:t xml:space="preserve">金面上项目</w:t>
      </w:r>
      <w:r>
        <w:rPr>
          <w:rFonts w:eastAsia="楷体_GB2312" w:hint="default"/>
          <w:sz w:val="24"/>
          <w:szCs w:val="24"/>
        </w:rPr>
        <w:t xml:space="preserve">6</w:t>
      </w:r>
      <w:r>
        <w:rPr>
          <w:rFonts w:eastAsia="楷体_GB2312" w:hint="default"/>
          <w:sz w:val="24"/>
          <w:szCs w:val="24"/>
        </w:rPr>
        <w:t xml:space="preserve">项、博士后基金项目</w:t>
      </w:r>
      <w:r>
        <w:rPr>
          <w:rFonts w:eastAsia="楷体_GB2312" w:hint="default"/>
          <w:sz w:val="24"/>
          <w:szCs w:val="24"/>
        </w:rPr>
        <w:t xml:space="preserve">5</w:t>
      </w:r>
      <w:r>
        <w:rPr>
          <w:rFonts w:eastAsia="楷体_GB2312" w:hint="default"/>
          <w:sz w:val="24"/>
          <w:szCs w:val="24"/>
        </w:rPr>
        <w:t xml:space="preserve">项、技术预见项目</w:t>
      </w:r>
      <w:r>
        <w:rPr>
          <w:rFonts w:eastAsia="楷体_GB2312" w:hint="default"/>
          <w:sz w:val="24"/>
          <w:szCs w:val="24"/>
        </w:rPr>
        <w:t xml:space="preserve">1</w:t>
      </w:r>
      <w:r>
        <w:rPr>
          <w:rFonts w:eastAsia="楷体_GB2312" w:hint="default"/>
          <w:sz w:val="24"/>
          <w:szCs w:val="24"/>
        </w:rPr>
        <w:t xml:space="preserve">项；重庆市教委科学技术研究计划项目</w:t>
      </w:r>
      <w:r>
        <w:rPr>
          <w:rFonts w:eastAsia="楷体_GB2312" w:hint="default"/>
          <w:sz w:val="24"/>
          <w:szCs w:val="24"/>
        </w:rPr>
        <w:t xml:space="preserve">4</w:t>
      </w:r>
      <w:r>
        <w:rPr>
          <w:rFonts w:eastAsia="楷体_GB2312" w:hint="default"/>
          <w:sz w:val="24"/>
          <w:szCs w:val="24"/>
        </w:rPr>
        <w:t xml:space="preserve">项、人文社科类研究项目</w:t>
      </w:r>
      <w:r>
        <w:rPr>
          <w:rFonts w:eastAsia="楷体_GB2312" w:hint="default"/>
          <w:sz w:val="24"/>
          <w:szCs w:val="24"/>
        </w:rPr>
        <w:t xml:space="preserve">1</w:t>
      </w:r>
      <w:r>
        <w:rPr>
          <w:rFonts w:eastAsia="楷体_GB2312" w:hint="default"/>
          <w:sz w:val="24"/>
          <w:szCs w:val="24"/>
        </w:rPr>
        <w:t xml:space="preserve">项。今年签订横向项目共</w:t>
      </w:r>
      <w:r>
        <w:rPr>
          <w:rFonts w:eastAsia="楷体_GB2312" w:hint="default"/>
          <w:sz w:val="24"/>
          <w:szCs w:val="24"/>
        </w:rPr>
        <w:t xml:space="preserve">5</w:t>
      </w:r>
      <w:r>
        <w:rPr>
          <w:rFonts w:eastAsia="楷体_GB2312" w:hint="default"/>
          <w:sz w:val="24"/>
          <w:szCs w:val="24"/>
        </w:rPr>
        <w:t xml:space="preserve">项。</w:t>
      </w:r>
      <w:r/>
    </w:p>
    <w:p>
      <w:pPr>
        <w:spacing w:lineRule="exact" w:line="560"/>
        <w:widowControl/>
        <w:rPr>
          <w:rFonts w:eastAsia="楷体_GB2312"/>
        </w:rPr>
      </w:pPr>
      <w:r>
        <w:rPr>
          <w:rFonts w:eastAsia="楷体_GB2312" w:hint="eastAsia"/>
        </w:rPr>
        <w:t xml:space="preserve">   </w:t>
      </w:r>
      <w:r>
        <w:rPr>
          <w:rFonts w:eastAsia="楷体_GB2312" w:hint="eastAsia"/>
          <w:b/>
          <w:bCs/>
        </w:rPr>
        <w:t xml:space="preserve">科研产出质量保持稳定上升趋势：</w:t>
      </w:r>
      <w:r>
        <w:rPr>
          <w:rFonts w:ascii="Times New Roman" w:hAnsi="Times New Roman" w:cs="Times New Roman" w:eastAsia="楷体_GB2312"/>
        </w:rPr>
        <w:t xml:space="preserve">全年发表论文</w:t>
      </w:r>
      <w:r>
        <w:rPr>
          <w:rFonts w:ascii="Times New Roman" w:hAnsi="Times New Roman" w:cs="Times New Roman" w:eastAsia="楷体_GB2312"/>
        </w:rPr>
        <w:t xml:space="preserve">124</w:t>
      </w:r>
      <w:r>
        <w:rPr>
          <w:rFonts w:ascii="Times New Roman" w:hAnsi="Times New Roman" w:cs="Times New Roman" w:eastAsia="楷体_GB2312"/>
        </w:rPr>
        <w:t xml:space="preserve">篇，其中</w:t>
      </w:r>
      <w:r>
        <w:rPr>
          <w:rFonts w:ascii="Times New Roman" w:hAnsi="Times New Roman" w:cs="Times New Roman" w:eastAsia="楷体_GB2312"/>
        </w:rPr>
        <w:t xml:space="preserve">SCI</w:t>
      </w:r>
      <w:r>
        <w:rPr>
          <w:rFonts w:ascii="Times New Roman" w:hAnsi="Times New Roman" w:cs="Times New Roman" w:eastAsia="楷体_GB2312"/>
        </w:rPr>
        <w:t xml:space="preserve">论文</w:t>
      </w:r>
      <w:r>
        <w:rPr>
          <w:rFonts w:ascii="Times New Roman" w:hAnsi="Times New Roman" w:cs="Times New Roman" w:eastAsia="楷体_GB2312"/>
        </w:rPr>
        <w:t xml:space="preserve">102</w:t>
      </w:r>
      <w:r>
        <w:rPr>
          <w:rFonts w:ascii="Times New Roman" w:hAnsi="Times New Roman" w:cs="Times New Roman" w:eastAsia="楷体_GB2312"/>
        </w:rPr>
        <w:t xml:space="preserve">篇，平均</w:t>
      </w:r>
      <w:r>
        <w:rPr>
          <w:rFonts w:ascii="Times New Roman" w:hAnsi="Times New Roman" w:cs="Times New Roman" w:eastAsia="楷体_GB2312"/>
        </w:rPr>
        <w:t xml:space="preserve">IF 6.69 </w:t>
      </w:r>
      <w:r>
        <w:rPr>
          <w:rFonts w:ascii="Times New Roman" w:hAnsi="Times New Roman" w:cs="Times New Roman" w:eastAsia="楷体_GB2312"/>
        </w:rPr>
        <w:t xml:space="preserve">，影响因子同比增长</w:t>
      </w:r>
      <w:r>
        <w:rPr>
          <w:rFonts w:ascii="Times New Roman" w:hAnsi="Times New Roman" w:cs="Times New Roman" w:eastAsia="楷体_GB2312"/>
        </w:rPr>
        <w:t xml:space="preserve">25%</w:t>
      </w:r>
      <w:r>
        <w:rPr>
          <w:rFonts w:ascii="Times New Roman" w:hAnsi="Times New Roman" w:cs="Times New Roman" w:eastAsia="楷体_GB2312"/>
        </w:rPr>
        <w:t xml:space="preserve">；其中，</w:t>
      </w:r>
      <w:r>
        <w:rPr>
          <w:rFonts w:ascii="Times New Roman" w:hAnsi="Times New Roman" w:cs="Times New Roman" w:eastAsia="楷体_GB2312"/>
        </w:rPr>
        <w:t xml:space="preserve">5</w:t>
      </w:r>
      <w:r>
        <w:rPr>
          <w:rFonts w:ascii="Times New Roman" w:hAnsi="Times New Roman" w:cs="Times New Roman" w:eastAsia="楷体_GB2312"/>
        </w:rPr>
        <w:t xml:space="preserve">分以上文章</w:t>
      </w:r>
      <w:r>
        <w:rPr>
          <w:rFonts w:ascii="Times New Roman" w:hAnsi="Times New Roman" w:cs="Times New Roman" w:eastAsia="楷体_GB2312"/>
        </w:rPr>
        <w:t xml:space="preserve">71</w:t>
      </w:r>
      <w:r>
        <w:rPr>
          <w:rFonts w:ascii="Times New Roman" w:hAnsi="Times New Roman" w:cs="Times New Roman" w:eastAsia="楷体_GB2312"/>
        </w:rPr>
        <w:t xml:space="preserve">篇，</w:t>
      </w:r>
      <w:r>
        <w:rPr>
          <w:rFonts w:ascii="Times New Roman" w:hAnsi="Times New Roman" w:cs="Times New Roman" w:eastAsia="楷体_GB2312"/>
        </w:rPr>
        <w:t xml:space="preserve">10</w:t>
      </w:r>
      <w:r>
        <w:rPr>
          <w:rFonts w:ascii="Times New Roman" w:hAnsi="Times New Roman" w:cs="Times New Roman" w:eastAsia="楷体_GB2312"/>
        </w:rPr>
        <w:t xml:space="preserve">分以上文章</w:t>
      </w:r>
      <w:r>
        <w:rPr>
          <w:rFonts w:ascii="Times New Roman" w:hAnsi="Times New Roman" w:cs="Times New Roman" w:eastAsia="楷体_GB2312"/>
        </w:rPr>
        <w:t xml:space="preserve">7</w:t>
      </w:r>
      <w:r>
        <w:rPr>
          <w:rFonts w:ascii="Times New Roman" w:hAnsi="Times New Roman" w:cs="Times New Roman" w:eastAsia="楷体_GB2312"/>
        </w:rPr>
        <w:t xml:space="preserve">篇，中文核心期刊</w:t>
      </w:r>
      <w:r>
        <w:rPr>
          <w:rFonts w:ascii="Times New Roman" w:hAnsi="Times New Roman" w:cs="Times New Roman" w:eastAsia="楷体_GB2312"/>
        </w:rPr>
        <w:t xml:space="preserve">5</w:t>
      </w:r>
      <w:r>
        <w:rPr>
          <w:rFonts w:ascii="Times New Roman" w:hAnsi="Times New Roman" w:cs="Times New Roman" w:eastAsia="楷体_GB2312"/>
        </w:rPr>
        <w:t xml:space="preserve">篇，获得授权国家发明专利</w:t>
      </w:r>
      <w:r>
        <w:rPr>
          <w:rFonts w:ascii="Times New Roman" w:hAnsi="Times New Roman" w:cs="Times New Roman" w:eastAsia="楷体_GB2312"/>
        </w:rPr>
        <w:t xml:space="preserve">19</w:t>
      </w:r>
      <w:r>
        <w:rPr>
          <w:rFonts w:ascii="Times New Roman" w:hAnsi="Times New Roman" w:cs="Times New Roman" w:eastAsia="楷体_GB2312"/>
        </w:rPr>
        <w:t xml:space="preserve">项。</w:t>
      </w:r>
      <w:r/>
    </w:p>
    <w:p>
      <w:pPr>
        <w:pStyle w:val="395"/>
        <w:ind w:firstLine="1446"/>
        <w:rPr>
          <w:sz w:val="24"/>
          <w:szCs w:val="24"/>
        </w:rPr>
      </w:pPr>
      <w:r>
        <w:rPr>
          <w:rFonts w:ascii="Calibri" w:hAnsi="Calibri" w:cs="Calibri" w:eastAsia="楷体_GB2312" w:hint="eastAsia"/>
          <w:sz w:val="24"/>
          <w:szCs w:val="24"/>
        </w:rPr>
        <w:t xml:space="preserve">2022</w:t>
      </w:r>
      <w:r>
        <w:rPr>
          <w:rFonts w:ascii="Calibri" w:hAnsi="Calibri" w:cs="Calibri" w:eastAsia="楷体_GB2312" w:hint="eastAsia"/>
          <w:sz w:val="24"/>
          <w:szCs w:val="24"/>
        </w:rPr>
        <w:t xml:space="preserve">年中心承担科研任务及经费（部分）</w:t>
      </w:r>
      <w:r/>
    </w:p>
    <w:tbl>
      <w:tblPr>
        <w:tblpPr w:horzAnchor="page" w:tblpX="1950" w:vertAnchor="text" w:tblpY="807" w:leftFromText="180" w:topFromText="0" w:rightFromText="180" w:bottomFromText="0"/>
        <w:tblW w:w="8415" w:type="dxa"/>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851"/>
        <w:gridCol w:w="2893"/>
        <w:gridCol w:w="1209"/>
        <w:gridCol w:w="1173"/>
        <w:gridCol w:w="1117"/>
        <w:gridCol w:w="1172"/>
      </w:tblGrid>
      <w:tr>
        <w:trPr>
          <w:trHeight w:val="758"/>
        </w:trPr>
        <w:tc>
          <w:tcPr>
            <w:tcW w:w="851" w:type="dxa"/>
            <w:vAlign w:val="center"/>
            <w:textDirection w:val="lrTb"/>
            <w:noWrap w:val="false"/>
          </w:tcPr>
          <w:p>
            <w:pPr>
              <w:rPr>
                <w:rFonts w:ascii="黑体" w:hAnsi="黑体" w:eastAsia="黑体"/>
              </w:rPr>
            </w:pPr>
            <w:r>
              <w:rPr>
                <w:rFonts w:ascii="黑体" w:hAnsi="黑体" w:cs="宋体" w:eastAsia="黑体" w:hint="eastAsia"/>
              </w:rPr>
              <w:t xml:space="preserve">序号</w:t>
            </w:r>
            <w:r/>
          </w:p>
        </w:tc>
        <w:tc>
          <w:tcPr>
            <w:tcW w:w="2893" w:type="dxa"/>
            <w:vAlign w:val="center"/>
            <w:textDirection w:val="lrTb"/>
            <w:noWrap w:val="false"/>
          </w:tcPr>
          <w:p>
            <w:pPr>
              <w:jc w:val="center"/>
              <w:rPr>
                <w:rFonts w:ascii="黑体" w:hAnsi="黑体" w:eastAsia="黑体"/>
              </w:rPr>
            </w:pPr>
            <w:r>
              <w:rPr>
                <w:rFonts w:ascii="黑体" w:hAnsi="黑体" w:cs="宋体" w:eastAsia="黑体" w:hint="eastAsia"/>
              </w:rPr>
              <w:t xml:space="preserve">课 题 名 称</w:t>
            </w:r>
            <w:r/>
          </w:p>
        </w:tc>
        <w:tc>
          <w:tcPr>
            <w:tcW w:w="1209" w:type="dxa"/>
            <w:vAlign w:val="center"/>
            <w:textDirection w:val="lrTb"/>
            <w:noWrap w:val="false"/>
          </w:tcPr>
          <w:p>
            <w:pPr>
              <w:jc w:val="center"/>
              <w:rPr>
                <w:rFonts w:ascii="黑体" w:hAnsi="黑体" w:eastAsia="黑体"/>
              </w:rPr>
            </w:pPr>
            <w:r>
              <w:rPr>
                <w:rFonts w:ascii="黑体" w:hAnsi="黑体" w:cs="宋体" w:eastAsia="黑体" w:hint="eastAsia"/>
              </w:rPr>
              <w:t xml:space="preserve">文号</w:t>
            </w:r>
            <w:r/>
          </w:p>
        </w:tc>
        <w:tc>
          <w:tcPr>
            <w:tcW w:w="1173" w:type="dxa"/>
            <w:vAlign w:val="center"/>
            <w:textDirection w:val="lrTb"/>
            <w:noWrap w:val="false"/>
          </w:tcPr>
          <w:p>
            <w:pPr>
              <w:jc w:val="center"/>
              <w:rPr>
                <w:rFonts w:ascii="黑体" w:hAnsi="黑体" w:eastAsia="黑体"/>
              </w:rPr>
            </w:pPr>
            <w:r>
              <w:rPr>
                <w:rFonts w:ascii="黑体" w:hAnsi="黑体" w:cs="宋体" w:eastAsia="黑体" w:hint="eastAsia"/>
              </w:rPr>
              <w:t xml:space="preserve">负责人</w:t>
            </w:r>
            <w:r/>
          </w:p>
        </w:tc>
        <w:tc>
          <w:tcPr>
            <w:tcW w:w="1117"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起止</w:t>
            </w:r>
            <w:r/>
          </w:p>
          <w:p>
            <w:pPr>
              <w:jc w:val="center"/>
              <w:rPr>
                <w:rFonts w:ascii="黑体" w:hAnsi="黑体" w:eastAsia="黑体"/>
              </w:rPr>
            </w:pPr>
            <w:r>
              <w:rPr>
                <w:rFonts w:ascii="黑体" w:hAnsi="黑体" w:cs="宋体" w:eastAsia="黑体" w:hint="eastAsia"/>
              </w:rPr>
              <w:t xml:space="preserve">时间</w:t>
            </w:r>
            <w:r/>
          </w:p>
        </w:tc>
        <w:tc>
          <w:tcPr>
            <w:tcW w:w="1172"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经费</w:t>
            </w:r>
            <w:r/>
          </w:p>
          <w:p>
            <w:pPr>
              <w:jc w:val="center"/>
              <w:rPr>
                <w:rFonts w:ascii="黑体" w:hAnsi="黑体" w:eastAsia="黑体"/>
              </w:rPr>
            </w:pPr>
            <w:r>
              <w:rPr>
                <w:rFonts w:ascii="黑体" w:hAnsi="黑体" w:cs="宋体" w:eastAsia="黑体" w:hint="eastAsia"/>
              </w:rPr>
              <w:t xml:space="preserve">（</w:t>
            </w:r>
            <w:r>
              <w:rPr>
                <w:rFonts w:ascii="黑体" w:hAnsi="黑体" w:cs="仿宋_GB2312" w:eastAsia="黑体" w:hint="eastAsia"/>
              </w:rPr>
              <w:t xml:space="preserve">万元</w:t>
            </w:r>
            <w:r>
              <w:rPr>
                <w:rFonts w:ascii="黑体" w:hAnsi="黑体" w:cs="宋体" w:eastAsia="黑体" w:hint="eastAsia"/>
              </w:rPr>
              <w:t xml:space="preserve">）</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天然产物</w:t>
            </w:r>
            <w:r>
              <w:rPr>
                <w:rFonts w:ascii="Times New Roman" w:hAnsi="Times New Roman" w:cs="Times New Roman" w:eastAsia="楷体"/>
                <w:sz w:val="21"/>
                <w:szCs w:val="21"/>
                <w:lang w:bidi="ar"/>
              </w:rPr>
              <w:t xml:space="preserve">neristatin 1</w:t>
            </w:r>
            <w:r>
              <w:rPr>
                <w:rFonts w:ascii="Times New Roman" w:hAnsi="Times New Roman" w:cs="Times New Roman" w:eastAsia="楷体"/>
                <w:sz w:val="21"/>
                <w:szCs w:val="21"/>
                <w:lang w:bidi="ar"/>
              </w:rPr>
              <w:t xml:space="preserve">的全合成及其抗癌活性研究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KJQN202200465</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徐标</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10-</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09</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4</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2</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中性粒细胞向抗原提呈细胞表型分化的机制及其在动脉粥样硬化中的作用研究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KJQN202200470</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王婷婷</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10-</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09</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4</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3</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脂质纳米载体中</w:t>
            </w:r>
            <w:r>
              <w:rPr>
                <w:rFonts w:ascii="Times New Roman" w:hAnsi="Times New Roman" w:cs="Times New Roman" w:eastAsia="楷体"/>
                <w:sz w:val="21"/>
                <w:szCs w:val="21"/>
                <w:lang w:bidi="ar"/>
              </w:rPr>
              <w:t xml:space="preserve">PEG</w:t>
            </w:r>
            <w:r>
              <w:rPr>
                <w:rFonts w:ascii="Times New Roman" w:hAnsi="Times New Roman" w:cs="Times New Roman" w:eastAsia="楷体"/>
                <w:sz w:val="21"/>
                <w:szCs w:val="21"/>
                <w:lang w:bidi="ar"/>
              </w:rPr>
              <w:t xml:space="preserve">脂质脱落及其对免疫原性的影响</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KJQN202200451</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张倩玉</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10-</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09</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4</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4</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功能化双发射碳点的构建及在动脉粥样硬化诊疗中的应用研究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CSTB2022NSCQ-MSX0849</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邓涛</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bottom"/>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08-</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07</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5</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七元瓜环作为药用辅料对难溶性药物生物利用度的影响及机理研究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CSTB2022NSCQ-MSX1073</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张相军</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bottom"/>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08-</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07</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6</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吲哚咔唑类化合物的新合成方法及性质研究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CSTB2022NSCQ-MSX0847</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唐强</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bottom"/>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08-</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07</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基于智能化水凝胶的放创复合伤再生修复应用研究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CSTB2022NSCQ-MSX1084</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阳章友</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bottom"/>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08-</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07</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bottom"/>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基于新型亲和色谱法筛选干姜中</w:t>
            </w:r>
            <w:r>
              <w:rPr>
                <w:rFonts w:ascii="Times New Roman" w:hAnsi="Times New Roman" w:cs="Times New Roman" w:eastAsia="楷体"/>
                <w:sz w:val="21"/>
                <w:szCs w:val="21"/>
                <w:lang w:bidi="ar"/>
              </w:rPr>
              <w:t xml:space="preserve">GRP78</w:t>
            </w:r>
            <w:r>
              <w:rPr>
                <w:rFonts w:ascii="Times New Roman" w:hAnsi="Times New Roman" w:cs="Times New Roman" w:eastAsia="楷体"/>
                <w:sz w:val="21"/>
                <w:szCs w:val="21"/>
                <w:lang w:bidi="ar"/>
              </w:rPr>
              <w:t xml:space="preserve">靶向成分及其抗</w:t>
            </w:r>
            <w:r>
              <w:rPr>
                <w:rFonts w:ascii="Times New Roman" w:hAnsi="Times New Roman" w:cs="Times New Roman" w:eastAsia="楷体"/>
                <w:sz w:val="21"/>
                <w:szCs w:val="21"/>
                <w:lang w:bidi="ar"/>
              </w:rPr>
              <w:t xml:space="preserve">AML</w:t>
            </w:r>
            <w:r>
              <w:rPr>
                <w:rFonts w:ascii="Times New Roman" w:hAnsi="Times New Roman" w:cs="Times New Roman" w:eastAsia="楷体"/>
                <w:sz w:val="21"/>
                <w:szCs w:val="21"/>
                <w:lang w:bidi="ar"/>
              </w:rPr>
              <w:t xml:space="preserve">作用研究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CSTB2022NSCQ-MSX0857</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彭咏波</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bottom"/>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08-</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07</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9</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苔藓虫素的全合成及其抗肿瘤构效关系的研究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22201030</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徐标</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10</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基于多重相互作用和三点定位的分子印迹聚合物构建及</w:t>
            </w:r>
            <w:r>
              <w:rPr>
                <w:rFonts w:ascii="Times New Roman" w:hAnsi="Times New Roman" w:cs="Times New Roman" w:eastAsia="楷体"/>
                <w:sz w:val="21"/>
                <w:szCs w:val="21"/>
                <w:lang w:bidi="ar"/>
              </w:rPr>
              <w:t xml:space="preserve">超高选择性萃</w:t>
            </w:r>
            <w:r/>
          </w:p>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取研究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22204013</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黄一可</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11</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基于元动力学</w:t>
            </w:r>
            <w:r>
              <w:rPr>
                <w:rFonts w:ascii="Times New Roman" w:hAnsi="Times New Roman" w:cs="Times New Roman" w:eastAsia="楷体"/>
                <w:sz w:val="21"/>
                <w:szCs w:val="21"/>
                <w:lang w:bidi="ar"/>
              </w:rPr>
              <w:t xml:space="preserve">-</w:t>
            </w:r>
            <w:r>
              <w:rPr>
                <w:rFonts w:ascii="Times New Roman" w:hAnsi="Times New Roman" w:cs="Times New Roman" w:eastAsia="楷体"/>
                <w:sz w:val="21"/>
                <w:szCs w:val="21"/>
                <w:lang w:bidi="ar"/>
              </w:rPr>
              <w:t xml:space="preserve">粗粒化模拟研究固体分散体的分子结构和老化机制及其人工智能处方系统的构建</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82204299</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赵倩倩</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基于</w:t>
            </w:r>
            <w:r>
              <w:rPr>
                <w:rFonts w:ascii="Times New Roman" w:hAnsi="Times New Roman" w:cs="Times New Roman" w:eastAsia="楷体"/>
                <w:sz w:val="21"/>
                <w:szCs w:val="21"/>
                <w:lang w:bidi="ar"/>
              </w:rPr>
              <w:t xml:space="preserve">GSH</w:t>
            </w:r>
            <w:r>
              <w:rPr>
                <w:rFonts w:ascii="Times New Roman" w:hAnsi="Times New Roman" w:cs="Times New Roman" w:eastAsia="楷体"/>
                <w:sz w:val="21"/>
                <w:szCs w:val="21"/>
                <w:lang w:bidi="ar"/>
              </w:rPr>
              <w:t xml:space="preserve">梯度的脂质体主动载药法的构建与评价研究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82204308</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李阳</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13</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低氧微环境诱导滑膜成纤维细胞代谢酶</w:t>
            </w:r>
            <w:r>
              <w:rPr>
                <w:rFonts w:ascii="Times New Roman" w:hAnsi="Times New Roman" w:cs="Times New Roman" w:eastAsia="楷体"/>
                <w:sz w:val="21"/>
                <w:szCs w:val="21"/>
                <w:lang w:bidi="ar"/>
              </w:rPr>
              <w:t xml:space="preserve">UGT1A1</w:t>
            </w:r>
            <w:r>
              <w:rPr>
                <w:rFonts w:ascii="Times New Roman" w:hAnsi="Times New Roman" w:cs="Times New Roman" w:eastAsia="楷体"/>
                <w:sz w:val="21"/>
                <w:szCs w:val="21"/>
                <w:lang w:bidi="ar"/>
              </w:rPr>
              <w:t xml:space="preserve">高表达参与类风湿关节</w:t>
            </w:r>
            <w:r/>
          </w:p>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炎耐药及其调控机制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82204508</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于瑞红</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14</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创新型制剂在免疫调节剂及疫苗等领域的应用</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w:t>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赵勤俭</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rPr>
            </w:pPr>
            <w:r>
              <w:rPr>
                <w:rFonts w:ascii="Times New Roman" w:hAnsi="Times New Roman" w:cs="Times New Roman" w:eastAsia="楷体"/>
                <w:sz w:val="21"/>
                <w:szCs w:val="21"/>
                <w:lang w:bidi="ar"/>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15</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NHDJ</w:t>
            </w:r>
            <w:r>
              <w:rPr>
                <w:rFonts w:ascii="Times New Roman" w:hAnsi="Times New Roman" w:cs="Times New Roman" w:eastAsia="楷体"/>
                <w:sz w:val="21"/>
                <w:szCs w:val="21"/>
                <w:lang w:bidi="ar"/>
              </w:rPr>
              <w:t xml:space="preserve">有害生物携带病原体现场快速检测技术研究</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于超</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01-</w:t>
            </w:r>
            <w:r/>
          </w:p>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2025</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75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16</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带状疱疹病毒疫苗立项调研</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刘颜</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11-</w:t>
            </w:r>
            <w:r/>
          </w:p>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2023</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32</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17</w:t>
            </w:r>
            <w:r/>
          </w:p>
        </w:tc>
        <w:tc>
          <w:tcPr>
            <w:shd w:val="clear" w:color="auto" w:fill="auto"/>
            <w:tcBorders>
              <w:left w:val="single" w:sz="6" w:space="0" w:color="auto"/>
              <w:top w:val="single" w:sz="6" w:space="0" w:color="auto"/>
              <w:right w:val="single" w:sz="6" w:space="0" w:color="auto"/>
              <w:bottom w:val="single" w:sz="6" w:space="0" w:color="auto"/>
            </w:tcBorders>
            <w:tcW w:w="2893" w:type="dxa"/>
            <w:vAlign w:val="center"/>
            <w:textDirection w:val="lrTb"/>
            <w:noWrap w:val="false"/>
          </w:tcPr>
          <w:p>
            <w:pPr>
              <w:jc w:val="left"/>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依匹哌唑新型长效制剂的制备及质量评价</w:t>
            </w:r>
            <w:r/>
          </w:p>
        </w:tc>
        <w:tc>
          <w:tcPr>
            <w:shd w:val="clear" w:color="auto" w:fill="auto"/>
            <w:tcBorders>
              <w:left w:val="single" w:sz="6" w:space="0" w:color="auto"/>
              <w:top w:val="single" w:sz="6" w:space="0" w:color="auto"/>
              <w:right w:val="single" w:sz="6" w:space="0" w:color="auto"/>
              <w:bottom w:val="single" w:sz="6" w:space="0" w:color="auto"/>
            </w:tcBorders>
            <w:tcW w:w="1209"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r>
            <w:r/>
          </w:p>
        </w:tc>
        <w:tc>
          <w:tcPr>
            <w:shd w:val="clear" w:color="auto" w:fill="auto"/>
            <w:tcBorders>
              <w:left w:val="single" w:sz="6" w:space="0" w:color="auto"/>
              <w:top w:val="single" w:sz="6" w:space="0" w:color="auto"/>
              <w:right w:val="single" w:sz="6" w:space="0" w:color="auto"/>
              <w:bottom w:val="single" w:sz="6" w:space="0" w:color="auto"/>
            </w:tcBorders>
            <w:tcW w:w="1173"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张景勍</w:t>
            </w:r>
            <w:r/>
          </w:p>
        </w:tc>
        <w:tc>
          <w:tcPr>
            <w:shd w:val="clear" w:color="auto" w:fill="auto"/>
            <w:tcBorders>
              <w:left w:val="single" w:sz="6" w:space="0" w:color="auto"/>
              <w:top w:val="single" w:sz="6" w:space="0" w:color="auto"/>
              <w:right w:val="single" w:sz="6" w:space="0" w:color="auto"/>
              <w:bottom w:val="single" w:sz="6" w:space="0" w:color="auto"/>
            </w:tcBorders>
            <w:tcW w:w="1117"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2022</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12-</w:t>
            </w:r>
            <w:r/>
          </w:p>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2024</w:t>
            </w:r>
            <w:r>
              <w:rPr>
                <w:rFonts w:ascii="Times New Roman" w:hAnsi="Times New Roman" w:cs="Times New Roman" w:eastAsia="楷体" w:hint="eastAsia"/>
                <w:sz w:val="21"/>
                <w:szCs w:val="21"/>
                <w:lang w:bidi="ar"/>
              </w:rPr>
              <w:t xml:space="preserve">.</w:t>
            </w:r>
            <w:r>
              <w:rPr>
                <w:rFonts w:ascii="Times New Roman" w:hAnsi="Times New Roman" w:cs="Times New Roman" w:eastAsia="楷体"/>
                <w:sz w:val="21"/>
                <w:szCs w:val="21"/>
                <w:lang w:bidi="ar"/>
              </w:rPr>
              <w:t xml:space="preserve">05</w:t>
            </w:r>
            <w:r/>
          </w:p>
        </w:tc>
        <w:tc>
          <w:tcPr>
            <w:shd w:val="clear" w:color="auto" w:fill="auto"/>
            <w:tcBorders>
              <w:left w:val="single" w:sz="6" w:space="0" w:color="auto"/>
              <w:top w:val="single" w:sz="6" w:space="0" w:color="auto"/>
              <w:right w:val="single" w:sz="6" w:space="0" w:color="auto"/>
              <w:bottom w:val="single" w:sz="6" w:space="0" w:color="auto"/>
            </w:tcBorders>
            <w:tcW w:w="1172" w:type="dxa"/>
            <w:vAlign w:val="center"/>
            <w:textDirection w:val="lrTb"/>
            <w:noWrap w:val="false"/>
          </w:tcPr>
          <w:p>
            <w:pPr>
              <w:jc w:val="center"/>
              <w:widowControl/>
              <w:rPr>
                <w:rFonts w:ascii="Times New Roman" w:hAnsi="Times New Roman" w:cs="Times New Roman" w:eastAsia="楷体"/>
                <w:sz w:val="21"/>
                <w:szCs w:val="21"/>
                <w:lang w:bidi="ar"/>
              </w:rPr>
            </w:pPr>
            <w:r>
              <w:rPr>
                <w:rFonts w:ascii="Times New Roman" w:hAnsi="Times New Roman" w:cs="Times New Roman" w:eastAsia="楷体"/>
                <w:sz w:val="21"/>
                <w:szCs w:val="21"/>
                <w:lang w:bidi="ar"/>
              </w:rPr>
              <w:t xml:space="preserve">8</w:t>
            </w:r>
            <w:r/>
          </w:p>
        </w:tc>
      </w:tr>
    </w:tbl>
    <w:p>
      <w:pPr>
        <w:pStyle w:val="395"/>
        <w:rPr>
          <w:rFonts w:ascii="Calibri" w:hAnsi="Calibri" w:cs="Calibri" w:eastAsia="楷体_GB2312"/>
          <w:sz w:val="24"/>
          <w:szCs w:val="24"/>
        </w:rPr>
      </w:pPr>
      <w:r>
        <w:rPr>
          <w:rFonts w:ascii="Calibri" w:hAnsi="Calibri" w:cs="Calibri" w:eastAsia="楷体_GB2312"/>
          <w:sz w:val="24"/>
          <w:szCs w:val="24"/>
        </w:rPr>
      </w:r>
      <w:r/>
    </w:p>
    <w:p>
      <w:pPr>
        <w:pStyle w:val="395"/>
        <w:ind w:firstLine="1928"/>
        <w:rPr>
          <w:rFonts w:ascii="Calibri" w:hAnsi="Calibri" w:cs="Calibri" w:eastAsia="楷体_GB2312"/>
          <w:sz w:val="24"/>
          <w:szCs w:val="24"/>
        </w:rPr>
      </w:pPr>
      <w:r>
        <w:rPr>
          <w:rFonts w:ascii="Calibri" w:hAnsi="Calibri" w:cs="Calibri" w:eastAsia="楷体_GB2312"/>
          <w:sz w:val="24"/>
          <w:szCs w:val="24"/>
        </w:rPr>
        <w:t xml:space="preserve">202</w:t>
      </w:r>
      <w:r>
        <w:rPr>
          <w:rFonts w:ascii="Calibri" w:hAnsi="Calibri" w:cs="Calibri" w:eastAsia="楷体_GB2312" w:hint="eastAsia"/>
          <w:sz w:val="24"/>
          <w:szCs w:val="24"/>
        </w:rPr>
        <w:t xml:space="preserve">2</w:t>
      </w:r>
      <w:r>
        <w:rPr>
          <w:rFonts w:ascii="Calibri" w:hAnsi="Calibri" w:cs="Calibri" w:eastAsia="楷体_GB2312"/>
          <w:sz w:val="24"/>
          <w:szCs w:val="24"/>
        </w:rPr>
        <w:t xml:space="preserve">年中心教师获得专利授权一览表</w:t>
      </w:r>
      <w:r/>
    </w:p>
    <w:tbl>
      <w:tblPr>
        <w:tblW w:w="9045" w:type="dxa"/>
        <w:tblLayout w:type="fixed"/>
        <w:tblCellMar>
          <w:left w:w="0" w:type="dxa"/>
          <w:right w:w="0" w:type="dxa"/>
        </w:tblCellMar>
        <w:tblLook w:val="04A0" w:firstRow="1" w:lastRow="0" w:firstColumn="1" w:lastColumn="0" w:noHBand="0" w:noVBand="1"/>
      </w:tblPr>
      <w:tblGrid>
        <w:gridCol w:w="490"/>
        <w:gridCol w:w="2834"/>
        <w:gridCol w:w="1591"/>
        <w:gridCol w:w="864"/>
        <w:gridCol w:w="1154"/>
        <w:gridCol w:w="1043"/>
        <w:gridCol w:w="1069"/>
      </w:tblGrid>
      <w:tr>
        <w:trPr>
          <w:trHeight w:val="886"/>
        </w:trPr>
        <w:tc>
          <w:tcPr>
            <w:tcBorders>
              <w:left w:val="single" w:sz="4" w:space="0" w:color="auto"/>
              <w:top w:val="single" w:sz="4" w:space="0" w:color="auto"/>
              <w:right w:val="single" w:sz="4" w:space="0" w:color="auto"/>
              <w:bottom w:val="single" w:sz="4" w:space="0" w:color="auto"/>
            </w:tcBorders>
            <w:tcW w:w="490" w:type="dxa"/>
            <w:vAlign w:val="center"/>
            <w:textDirection w:val="lrTb"/>
            <w:noWrap w:val="false"/>
          </w:tcPr>
          <w:p>
            <w:pPr>
              <w:jc w:val="center"/>
              <w:rPr>
                <w:b/>
                <w:bCs/>
                <w:sz w:val="22"/>
                <w:szCs w:val="22"/>
              </w:rPr>
            </w:pPr>
            <w:r>
              <w:rPr>
                <w:rFonts w:hint="eastAsia"/>
                <w:b/>
                <w:bCs/>
                <w:sz w:val="22"/>
                <w:szCs w:val="22"/>
              </w:rPr>
              <w:t xml:space="preserve">序号</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2834" w:type="dxa"/>
            <w:vAlign w:val="center"/>
            <w:textDirection w:val="lrTb"/>
            <w:noWrap/>
          </w:tcPr>
          <w:p>
            <w:pPr>
              <w:jc w:val="center"/>
              <w:widowControl/>
              <w:rPr>
                <w:b/>
                <w:bCs/>
                <w:sz w:val="22"/>
                <w:szCs w:val="22"/>
              </w:rPr>
            </w:pPr>
            <w:r>
              <w:rPr>
                <w:rFonts w:hint="eastAsia"/>
                <w:b/>
                <w:bCs/>
                <w:sz w:val="22"/>
                <w:szCs w:val="22"/>
              </w:rPr>
              <w:t xml:space="preserve">专利情况</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center"/>
              <w:rPr>
                <w:b/>
                <w:bCs/>
                <w:sz w:val="22"/>
                <w:szCs w:val="22"/>
              </w:rPr>
            </w:pPr>
            <w:r>
              <w:rPr>
                <w:rFonts w:hint="eastAsia"/>
                <w:b/>
                <w:bCs/>
                <w:sz w:val="22"/>
                <w:szCs w:val="22"/>
              </w:rPr>
              <w:t xml:space="preserve">专利授权号</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rPr>
                <w:b/>
                <w:bCs/>
                <w:sz w:val="22"/>
                <w:szCs w:val="22"/>
              </w:rPr>
            </w:pPr>
            <w:r>
              <w:rPr>
                <w:rFonts w:hint="eastAsia"/>
                <w:b/>
                <w:bCs/>
                <w:sz w:val="22"/>
                <w:szCs w:val="22"/>
              </w:rPr>
              <w:t xml:space="preserve">获准</w:t>
            </w:r>
            <w:r/>
          </w:p>
          <w:p>
            <w:pPr>
              <w:jc w:val="center"/>
              <w:rPr>
                <w:b/>
                <w:bCs/>
                <w:sz w:val="22"/>
                <w:szCs w:val="22"/>
              </w:rPr>
            </w:pPr>
            <w:r>
              <w:rPr>
                <w:rFonts w:hint="eastAsia"/>
                <w:b/>
                <w:bCs/>
                <w:sz w:val="22"/>
                <w:szCs w:val="22"/>
              </w:rPr>
              <w:t xml:space="preserve">国别</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154" w:type="dxa"/>
            <w:vAlign w:val="center"/>
            <w:textDirection w:val="lrTb"/>
            <w:noWrap/>
          </w:tcPr>
          <w:p>
            <w:pPr>
              <w:jc w:val="center"/>
              <w:rPr>
                <w:b/>
                <w:bCs/>
                <w:sz w:val="22"/>
                <w:szCs w:val="22"/>
              </w:rPr>
            </w:pPr>
            <w:r>
              <w:rPr>
                <w:rFonts w:hint="eastAsia"/>
                <w:b/>
                <w:bCs/>
                <w:sz w:val="22"/>
                <w:szCs w:val="22"/>
              </w:rPr>
              <w:t xml:space="preserve">完成人</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rPr>
                <w:b/>
                <w:bCs/>
                <w:sz w:val="22"/>
                <w:szCs w:val="22"/>
              </w:rPr>
            </w:pPr>
            <w:r>
              <w:rPr>
                <w:rFonts w:hint="eastAsia"/>
                <w:b/>
                <w:bCs/>
                <w:sz w:val="22"/>
                <w:szCs w:val="22"/>
              </w:rPr>
              <w:t xml:space="preserve">类型</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center"/>
              <w:rPr>
                <w:b/>
                <w:bCs/>
                <w:sz w:val="22"/>
                <w:szCs w:val="22"/>
              </w:rPr>
            </w:pPr>
            <w:r>
              <w:rPr>
                <w:rFonts w:hint="eastAsia"/>
                <w:b/>
                <w:bCs/>
                <w:sz w:val="22"/>
                <w:szCs w:val="22"/>
              </w:rPr>
              <w:t xml:space="preserve">类别</w:t>
            </w:r>
            <w:r/>
          </w:p>
        </w:tc>
      </w:tr>
      <w:tr>
        <w:trPr>
          <w:trHeight w:val="735"/>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b/>
                <w:bCs/>
                <w:sz w:val="20"/>
                <w:szCs w:val="20"/>
              </w:rPr>
            </w:pPr>
            <w:r>
              <w:rPr>
                <w:rFonts w:ascii="楷体" w:hAnsi="楷体" w:cs="楷体" w:eastAsia="楷体" w:hint="eastAsia"/>
                <w:sz w:val="20"/>
                <w:szCs w:val="20"/>
                <w:lang w:bidi="ar"/>
              </w:rPr>
              <w:t xml:space="preserve">一种肺癌细胞膜包裹精氨酸脱亚胺酶脂质纳米粒及其制备方法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b/>
                <w:bCs/>
                <w:sz w:val="20"/>
                <w:szCs w:val="20"/>
              </w:rPr>
            </w:pPr>
            <w:r>
              <w:rPr>
                <w:rFonts w:ascii="楷体" w:hAnsi="楷体" w:cs="楷体" w:eastAsia="楷体" w:hint="eastAsia"/>
                <w:sz w:val="20"/>
                <w:szCs w:val="20"/>
                <w:lang w:bidi="ar"/>
              </w:rPr>
              <w:t xml:space="preserve">第5546666号</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b/>
                <w:bCs/>
                <w:sz w:val="20"/>
                <w:szCs w:val="20"/>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b/>
                <w:bCs/>
                <w:sz w:val="20"/>
                <w:szCs w:val="20"/>
              </w:rPr>
            </w:pPr>
            <w:r>
              <w:rPr>
                <w:rFonts w:ascii="楷体" w:hAnsi="楷体" w:cs="楷体" w:eastAsia="楷体" w:hint="eastAsia"/>
                <w:sz w:val="20"/>
                <w:szCs w:val="20"/>
                <w:lang w:bidi="ar"/>
              </w:rPr>
              <w:t xml:space="preserve">张景勍</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rPr>
                <w:rFonts w:ascii="楷体" w:hAnsi="楷体" w:cs="楷体" w:eastAsia="楷体"/>
                <w:sz w:val="20"/>
                <w:szCs w:val="20"/>
              </w:rPr>
            </w:pPr>
            <w:r>
              <w:rPr>
                <w:rFonts w:ascii="楷体" w:hAnsi="楷体" w:cs="楷体" w:eastAsia="楷体" w:hint="eastAsia"/>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rPr>
            </w:pPr>
            <w:r>
              <w:rPr>
                <w:rFonts w:ascii="楷体" w:hAnsi="楷体" w:cs="楷体" w:eastAsia="楷体" w:hint="eastAsia"/>
                <w:sz w:val="20"/>
                <w:szCs w:val="20"/>
              </w:rPr>
              <w:t xml:space="preserve">合作完成-第一人</w:t>
            </w:r>
            <w:r/>
          </w:p>
        </w:tc>
      </w:tr>
      <w:tr>
        <w:trPr>
          <w:trHeight w:val="764"/>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2</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一种二茂铁基金属有机框架纳米粒及其制备方法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CN113368240B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张良珂</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72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3</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一种槲皮素碲纳米粒及其制备方法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CN113304264B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张良珂</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72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4</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3-（2-氯乙基）-9-羟基-2-甲基-4H-吡啶并[1,2-a]嘧啶-4-酮的合成方法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CN112794849B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5</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3-（2-氯乙基）-9-羟基-2-甲基-4H-吡啶并[1,2-a]嘧啶-4-酮</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CN112979643B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6</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多环氨基甲酰基吡啶酮类似物及其制备方法和用途</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CN112679519B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7</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纳米复合材料、ESAT-6电化学适</w:t>
            </w:r>
            <w:r>
              <w:rPr>
                <w:rFonts w:ascii="楷体" w:hAnsi="楷体" w:cs="楷体" w:eastAsia="楷体" w:hint="eastAsia"/>
                <w:sz w:val="20"/>
                <w:szCs w:val="20"/>
                <w:lang w:bidi="ar"/>
              </w:rPr>
              <w:t xml:space="preserve">体传感器的制备方法与检测方法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CN 112432979 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母昭德</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w:t>
            </w:r>
            <w:r>
              <w:rPr>
                <w:rFonts w:ascii="楷体" w:hAnsi="楷体" w:cs="楷体" w:eastAsia="楷体" w:hint="eastAsia"/>
                <w:sz w:val="20"/>
                <w:szCs w:val="20"/>
                <w:lang w:bidi="ar"/>
              </w:rPr>
              <w:t xml:space="preserve">第一人</w:t>
            </w:r>
            <w:r/>
          </w:p>
        </w:tc>
      </w:tr>
      <w:tr>
        <w:trPr>
          <w:trHeight w:val="72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sz w:val="20"/>
                <w:szCs w:val="20"/>
              </w:rPr>
              <w:t xml:space="preserve">8</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一种化合物在癌症治疗药物中的应用</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CN111773224B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李小丽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9</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一种间三联苯类化合物的制备方法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CN111205152B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唐强</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0</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一种载药透明质酸聚多巴胺包覆介孔聚多巴胺纳米粒及其制备方法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CN111110652B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张良珂</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1</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纳米复合材料、电化学microRNA生物传感器的制备方法及应用</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 110749635 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白丽娟</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2</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纳米复合材料、LPS电化学适体传感器的制备方法及检测方法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 110609071 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母昭德</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3</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莫西沙星手性侧链中间体的合成方法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110218210</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李雁武</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4</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一种咪唑盐酸盐催化氨基保护的方法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CN110028422B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735"/>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5</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以苯酚和α-卤代酮为原料合成苯并呋喃衍生物的方法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CN109516968B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唐强</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72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6</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以α-苯氧基酮为原料合成苯并呋喃衍生物的方法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109608423 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唐强</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7</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以四氯化钛作为脱水试剂合成萘并呋喃衍生物的方法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109574967B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唐强</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hint="eastAsia"/>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hint="eastAsia"/>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none" w:color="000000" w:sz="4" w:space="0"/>
            </w:tcBorders>
            <w:tcW w:w="490" w:type="dxa"/>
            <w:vAlign w:val="center"/>
            <w:textDirection w:val="lrTb"/>
            <w:noWrap w:val="false"/>
          </w:tcPr>
          <w:p>
            <w:pPr>
              <w:jc w:val="center"/>
              <w:rPr>
                <w:sz w:val="20"/>
                <w:szCs w:val="20"/>
              </w:rPr>
            </w:pPr>
            <w:r>
              <w:rPr>
                <w:rFonts w:hint="eastAsia"/>
                <w:sz w:val="20"/>
                <w:szCs w:val="20"/>
              </w:rPr>
              <w:t xml:space="preserve">1</w:t>
            </w:r>
            <w:r>
              <w:rPr>
                <w:sz w:val="20"/>
                <w:szCs w:val="20"/>
              </w:rPr>
              <w:t xml:space="preserve">8</w:t>
            </w:r>
            <w:r/>
          </w:p>
        </w:tc>
        <w:tc>
          <w:tcPr>
            <w:shd w:val="clear" w:color="auto" w:fill="auto"/>
            <w:tcBorders>
              <w:left w:val="single" w:sz="4" w:space="0" w:color="auto"/>
              <w:top w:val="none" w:color="000000" w:sz="4" w:space="0"/>
              <w:right w:val="single" w:sz="4" w:space="0" w:color="auto"/>
              <w:bottom w:val="none" w:color="000000" w:sz="4" w:space="0"/>
            </w:tcBorders>
            <w:tcMar>
              <w:left w:w="15" w:type="dxa"/>
              <w:top w:w="15" w:type="dxa"/>
              <w:right w:w="15" w:type="dxa"/>
              <w:bottom w:w="0" w:type="dxa"/>
            </w:tcMar>
            <w:tcW w:w="2834" w:type="dxa"/>
            <w:vAlign w:val="bottom"/>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一种2-取代的苯并噁唑和2-取代的苯并噻唑及其衍生物的合成方法</w:t>
            </w:r>
            <w:r/>
          </w:p>
        </w:tc>
        <w:tc>
          <w:tcPr>
            <w:shd w:val="clear" w:color="auto" w:fill="auto"/>
            <w:tcBorders>
              <w:left w:val="none" w:color="000000" w:sz="4" w:space="0"/>
              <w:top w:val="none" w:color="000000" w:sz="4" w:space="0"/>
              <w:right w:val="single" w:sz="4" w:space="0" w:color="auto"/>
              <w:bottom w:val="none" w:color="000000" w:sz="4" w:space="0"/>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CN109269405B</w:t>
            </w:r>
            <w:r/>
          </w:p>
        </w:tc>
        <w:tc>
          <w:tcPr>
            <w:shd w:val="clear" w:color="auto" w:fill="auto"/>
            <w:tcBorders>
              <w:left w:val="none" w:color="000000" w:sz="4" w:space="0"/>
              <w:top w:val="none" w:color="000000" w:sz="4" w:space="0"/>
              <w:right w:val="single" w:sz="4" w:space="0" w:color="auto"/>
              <w:bottom w:val="none" w:color="000000" w:sz="4" w:space="0"/>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中国</w:t>
            </w:r>
            <w:r/>
          </w:p>
        </w:tc>
        <w:tc>
          <w:tcPr>
            <w:shd w:val="clear" w:color="auto" w:fill="auto"/>
            <w:tcBorders>
              <w:left w:val="none" w:color="000000" w:sz="4" w:space="0"/>
              <w:top w:val="none" w:color="000000" w:sz="4" w:space="0"/>
              <w:right w:val="single" w:sz="4" w:space="0" w:color="auto"/>
              <w:bottom w:val="none" w:color="000000" w:sz="4" w:space="0"/>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none" w:color="000000" w:sz="4" w:space="0"/>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none" w:color="000000" w:sz="4" w:space="0"/>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合作完成-第一人</w:t>
            </w:r>
            <w:r/>
          </w:p>
        </w:tc>
      </w:tr>
      <w:tr>
        <w:trPr>
          <w:trHeight w:val="480"/>
        </w:trPr>
        <w:tc>
          <w:tcPr>
            <w:tcBorders>
              <w:left w:val="single" w:sz="4" w:space="0" w:color="auto"/>
              <w:top w:val="none" w:color="000000" w:sz="4" w:space="0"/>
              <w:right w:val="single" w:sz="4" w:space="0" w:color="auto"/>
              <w:bottom w:val="single" w:sz="4" w:space="0" w:color="auto"/>
            </w:tcBorders>
            <w:tcW w:w="490" w:type="dxa"/>
            <w:vAlign w:val="center"/>
            <w:textDirection w:val="lrTb"/>
            <w:noWrap w:val="false"/>
          </w:tcPr>
          <w:p>
            <w:pPr>
              <w:jc w:val="center"/>
              <w:rPr>
                <w:sz w:val="20"/>
                <w:szCs w:val="20"/>
              </w:rPr>
            </w:pPr>
            <w:r>
              <w:rPr>
                <w:rFonts w:hint="eastAsia"/>
                <w:sz w:val="20"/>
                <w:szCs w:val="20"/>
              </w:rPr>
              <w:t xml:space="preserve">19</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834"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核酸类疾病标志物的通用型高灵敏传感技术平台的构建研究</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591"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KJQN202200426</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86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154"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朱姝</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43" w:type="dxa"/>
            <w:vAlign w:val="center"/>
            <w:textDirection w:val="lrTb"/>
            <w:noWrap w:val="false"/>
          </w:tcPr>
          <w:p>
            <w:pPr>
              <w:jc w:val="center"/>
              <w:widowControl/>
              <w:rPr>
                <w:rFonts w:ascii="楷体" w:hAnsi="楷体" w:cs="楷体" w:eastAsia="楷体"/>
                <w:sz w:val="20"/>
                <w:szCs w:val="20"/>
                <w:lang w:bidi="ar"/>
              </w:rPr>
            </w:pPr>
            <w:r>
              <w:rPr>
                <w:rFonts w:ascii="楷体" w:hAnsi="楷体" w:cs="楷体" w:eastAsia="楷体"/>
                <w:sz w:val="20"/>
                <w:szCs w:val="20"/>
                <w:lang w:bidi="ar"/>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69" w:type="dxa"/>
            <w:vAlign w:val="center"/>
            <w:textDirection w:val="lrTb"/>
            <w:noWrap w:val="false"/>
          </w:tcPr>
          <w:p>
            <w:pPr>
              <w:jc w:val="left"/>
              <w:widowControl/>
              <w:rPr>
                <w:rFonts w:ascii="楷体" w:hAnsi="楷体" w:cs="楷体" w:eastAsia="楷体"/>
                <w:sz w:val="20"/>
                <w:szCs w:val="20"/>
                <w:lang w:bidi="ar"/>
              </w:rPr>
            </w:pPr>
            <w:r>
              <w:rPr>
                <w:rFonts w:ascii="楷体" w:hAnsi="楷体" w:cs="楷体" w:eastAsia="楷体"/>
                <w:sz w:val="20"/>
                <w:szCs w:val="20"/>
                <w:lang w:bidi="ar"/>
              </w:rPr>
              <w:t xml:space="preserve">合作完成-第一人</w:t>
            </w:r>
            <w:r/>
          </w:p>
        </w:tc>
      </w:tr>
    </w:tbl>
    <w:p>
      <w:pPr>
        <w:pStyle w:val="395"/>
        <w:ind w:firstLine="1687"/>
        <w:rPr>
          <w:rFonts w:ascii="Calibri" w:hAnsi="Calibri" w:cs="Calibri" w:eastAsia="楷体_GB2312"/>
          <w:sz w:val="24"/>
          <w:szCs w:val="24"/>
        </w:rPr>
      </w:pPr>
      <w:r>
        <w:rPr>
          <w:rFonts w:ascii="Calibri" w:hAnsi="Calibri" w:cs="Calibri" w:eastAsia="楷体_GB2312" w:hint="eastAsia"/>
          <w:sz w:val="24"/>
          <w:szCs w:val="24"/>
        </w:rPr>
        <w:t xml:space="preserve">中心教师发表科研论文、专著情况</w:t>
      </w:r>
      <w:r>
        <w:rPr>
          <w:rFonts w:ascii="Calibri" w:hAnsi="Calibri" w:cs="Calibri" w:eastAsia="楷体_GB2312"/>
          <w:sz w:val="24"/>
          <w:szCs w:val="24"/>
        </w:rPr>
        <w:t xml:space="preserve">一览表</w:t>
      </w:r>
      <w:r>
        <w:rPr>
          <w:rFonts w:ascii="Calibri" w:hAnsi="Calibri" w:cs="Calibri" w:eastAsia="楷体_GB2312" w:hint="eastAsia"/>
          <w:sz w:val="24"/>
          <w:szCs w:val="24"/>
        </w:rPr>
        <w:t xml:space="preserve">（部分）</w:t>
      </w:r>
      <w:r/>
    </w:p>
    <w:tbl>
      <w:tblPr>
        <w:tblStyle w:val="406"/>
        <w:tblW w:w="8897" w:type="dxa"/>
        <w:tblLayout w:type="fixed"/>
        <w:tblLook w:val="04A0" w:firstRow="1" w:lastRow="0" w:firstColumn="1" w:lastColumn="0" w:noHBand="0" w:noVBand="1"/>
      </w:tblPr>
      <w:tblGrid>
        <w:gridCol w:w="755"/>
        <w:gridCol w:w="2208"/>
        <w:gridCol w:w="1739"/>
        <w:gridCol w:w="1600"/>
        <w:gridCol w:w="1064"/>
        <w:gridCol w:w="776"/>
        <w:gridCol w:w="755"/>
      </w:tblGrid>
      <w:tr>
        <w:trPr/>
        <w:tc>
          <w:tcPr>
            <w:tcW w:w="755"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序号</w:t>
            </w:r>
            <w:r/>
          </w:p>
        </w:tc>
        <w:tc>
          <w:tcPr>
            <w:tcW w:w="2208"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论文或</w:t>
            </w:r>
            <w:r/>
          </w:p>
          <w:p>
            <w:pPr>
              <w:jc w:val="center"/>
              <w:rPr>
                <w:rFonts w:ascii="Times New Roman" w:hAnsi="Times New Roman" w:cs="Times New Roman" w:eastAsia="黑体"/>
              </w:rPr>
            </w:pPr>
            <w:r>
              <w:rPr>
                <w:rFonts w:ascii="Times New Roman" w:hAnsi="Times New Roman" w:cs="Times New Roman" w:eastAsia="黑体"/>
              </w:rPr>
              <w:t xml:space="preserve">专著名称</w:t>
            </w:r>
            <w:r/>
          </w:p>
        </w:tc>
        <w:tc>
          <w:tcPr>
            <w:tcW w:w="1739"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作者</w:t>
            </w:r>
            <w:r/>
          </w:p>
        </w:tc>
        <w:tc>
          <w:tcPr>
            <w:tcW w:w="1600"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刊物、出版社名称</w:t>
            </w:r>
            <w:r/>
          </w:p>
        </w:tc>
        <w:tc>
          <w:tcPr>
            <w:tcW w:w="1064"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卷、期</w:t>
            </w:r>
            <w:r/>
          </w:p>
          <w:p>
            <w:pPr>
              <w:jc w:val="center"/>
              <w:rPr>
                <w:rFonts w:ascii="Times New Roman" w:hAnsi="Times New Roman" w:cs="Times New Roman" w:eastAsia="黑体"/>
              </w:rPr>
            </w:pPr>
            <w:r>
              <w:rPr>
                <w:rFonts w:ascii="Times New Roman" w:hAnsi="Times New Roman" w:cs="Times New Roman" w:eastAsia="黑体"/>
              </w:rPr>
              <w:t xml:space="preserve">（或章节）、页</w:t>
            </w:r>
            <w:r/>
          </w:p>
        </w:tc>
        <w:tc>
          <w:tcPr>
            <w:tcW w:w="776"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宋体"/>
                <w:sz w:val="20"/>
                <w:szCs w:val="20"/>
                <w:lang w:bidi="ar"/>
              </w:rPr>
              <w:t xml:space="preserve">SCI/CSCD</w:t>
            </w:r>
            <w:r/>
          </w:p>
        </w:tc>
        <w:tc>
          <w:tcPr>
            <w:tcW w:w="755" w:type="dxa"/>
            <w:vAlign w:val="center"/>
            <w:textDirection w:val="lrTb"/>
            <w:noWrap w:val="false"/>
          </w:tcPr>
          <w:p>
            <w:pPr>
              <w:jc w:val="center"/>
              <w:tabs>
                <w:tab w:val="left" w:pos="492" w:leader="none"/>
              </w:tabs>
              <w:rPr>
                <w:rFonts w:ascii="Times New Roman" w:hAnsi="Times New Roman" w:cs="Times New Roman" w:eastAsia="黑体"/>
              </w:rPr>
            </w:pPr>
            <w:r>
              <w:rPr>
                <w:rFonts w:ascii="Times New Roman" w:hAnsi="Times New Roman" w:cs="Times New Roman" w:eastAsia="黑体"/>
              </w:rPr>
              <w:t xml:space="preserve">类别</w:t>
            </w:r>
            <w:r/>
          </w:p>
        </w:tc>
      </w:tr>
      <w:tr>
        <w:trPr/>
        <w:tc>
          <w:tcPr>
            <w:tcW w:w="755" w:type="dxa"/>
            <w:vAlign w:val="center"/>
            <w:textDirection w:val="lrTb"/>
            <w:noWrap w:val="false"/>
          </w:tcPr>
          <w:p>
            <w:pPr>
              <w:jc w:val="center"/>
              <w:spacing w:after="163" w:before="163"/>
              <w:rPr>
                <w:rFonts w:ascii="Times New Roman" w:hAnsi="Times New Roman" w:cs="Times New Roman" w:eastAsia="黑体"/>
              </w:rPr>
            </w:pPr>
            <w:r>
              <w:rPr>
                <w:rFonts w:ascii="Times New Roman" w:hAnsi="Times New Roman" w:cs="Times New Roman"/>
                <w:sz w:val="22"/>
                <w:szCs w:val="22"/>
              </w:rPr>
              <w:t xml:space="preserve">1</w:t>
            </w:r>
            <w:r/>
          </w:p>
        </w:tc>
        <w:tc>
          <w:tcPr>
            <w:tcW w:w="2208" w:type="dxa"/>
            <w:vAlign w:val="bottom"/>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Carbon Dots Based on Endogenous Nutrients with Visible and NIR Fluorescence to Penetrate Blood-Brain Barrier</w:t>
            </w:r>
            <w:r/>
          </w:p>
        </w:tc>
        <w:tc>
          <w:tcPr>
            <w:tcW w:w="1739"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杨仕钰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夏佳杉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Carbon</w:t>
            </w:r>
            <w:r/>
          </w:p>
        </w:tc>
        <w:tc>
          <w:tcPr>
            <w:tcW w:w="1064" w:type="dxa"/>
            <w:vAlign w:val="center"/>
            <w:textDirection w:val="lrTb"/>
            <w:noWrap w:val="false"/>
          </w:tcPr>
          <w:p>
            <w:pPr>
              <w:jc w:val="center"/>
              <w:rPr>
                <w:rFonts w:ascii="Times New Roman" w:hAnsi="Times New Roman" w:cs="Times New Roman" w:eastAsia="楷体"/>
                <w:sz w:val="20"/>
                <w:szCs w:val="20"/>
              </w:rPr>
            </w:pPr>
            <w:r>
              <w:rPr>
                <w:rFonts w:ascii="Times New Roman" w:hAnsi="Times New Roman" w:cs="Times New Roman" w:eastAsia="楷体"/>
                <w:sz w:val="20"/>
                <w:szCs w:val="20"/>
              </w:rPr>
            </w:r>
            <w:r/>
          </w:p>
        </w:tc>
        <w:tc>
          <w:tcPr>
            <w:tcW w:w="776"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黑体"/>
              </w:rPr>
            </w:pPr>
            <w:r>
              <w:rPr>
                <w:rFonts w:ascii="Times New Roman" w:hAnsi="Times New Roman" w:cs="Times New Roman"/>
                <w:sz w:val="22"/>
                <w:szCs w:val="22"/>
              </w:rPr>
              <w:t xml:space="preserve">2</w:t>
            </w:r>
            <w:r/>
          </w:p>
        </w:tc>
        <w:tc>
          <w:tcPr>
            <w:tcW w:w="2208"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七制香附丸中无机元素的分析及健康风险</w:t>
            </w:r>
            <w:r>
              <w:rPr>
                <w:rFonts w:ascii="Times New Roman" w:hAnsi="Times New Roman" w:cs="Times New Roman" w:eastAsia="楷体"/>
                <w:sz w:val="20"/>
                <w:szCs w:val="20"/>
                <w:lang w:bidi="ar"/>
              </w:rPr>
              <w:t xml:space="preserve">评估</w:t>
            </w:r>
            <w:r/>
          </w:p>
        </w:tc>
        <w:tc>
          <w:tcPr>
            <w:tcW w:w="1739"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李俊霖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沈沅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卞如玉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代磊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何丹</w:t>
            </w:r>
            <w:r/>
          </w:p>
        </w:tc>
        <w:tc>
          <w:tcPr>
            <w:tcW w:w="1600"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中国医院药学杂志</w:t>
            </w:r>
            <w:r/>
          </w:p>
        </w:tc>
        <w:tc>
          <w:tcPr>
            <w:tcW w:w="1064" w:type="dxa"/>
            <w:vAlign w:val="center"/>
            <w:textDirection w:val="lrTb"/>
            <w:noWrap w:val="false"/>
          </w:tcPr>
          <w:p>
            <w:pPr>
              <w:jc w:val="left"/>
              <w:rPr>
                <w:rFonts w:ascii="Times New Roman" w:hAnsi="Times New Roman" w:cs="Times New Roman" w:eastAsia="楷体"/>
                <w:sz w:val="20"/>
                <w:szCs w:val="20"/>
              </w:rPr>
            </w:pPr>
            <w:r>
              <w:rPr>
                <w:rFonts w:ascii="Times New Roman" w:hAnsi="Times New Roman" w:cs="Times New Roman" w:eastAsia="楷体"/>
                <w:sz w:val="20"/>
                <w:szCs w:val="20"/>
              </w:rPr>
            </w:r>
            <w:r/>
          </w:p>
        </w:tc>
        <w:tc>
          <w:tcPr>
            <w:tcW w:w="776"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中文核心</w:t>
            </w:r>
            <w:r>
              <w:rPr>
                <w:rFonts w:ascii="Times New Roman" w:hAnsi="Times New Roman" w:cs="Times New Roman" w:eastAsia="楷体"/>
                <w:sz w:val="20"/>
                <w:szCs w:val="20"/>
                <w:lang w:bidi="ar"/>
              </w:rPr>
              <w:t xml:space="preserve">期刊</w:t>
            </w:r>
            <w:r/>
          </w:p>
        </w:tc>
        <w:tc>
          <w:tcPr>
            <w:tcW w:w="755"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3</w:t>
            </w:r>
            <w:r/>
          </w:p>
        </w:tc>
        <w:tc>
          <w:tcPr>
            <w:tcW w:w="2208"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Resveratrol inhibits proliferation and induces apoptosis via the Hippo/YAP pathway in human colon cancer cells</w:t>
            </w:r>
            <w:r/>
          </w:p>
        </w:tc>
        <w:tc>
          <w:tcPr>
            <w:tcW w:w="1739"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秦小英</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罗泓鸿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邓懿轩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姚欣彤</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何百成</w:t>
            </w:r>
            <w:r/>
          </w:p>
        </w:tc>
        <w:tc>
          <w:tcPr>
            <w:tcW w:w="1600"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Biochemical and Biophysical Research Communications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4</w:t>
            </w:r>
            <w:r/>
          </w:p>
        </w:tc>
        <w:tc>
          <w:tcPr>
            <w:tcW w:w="2208" w:type="dxa"/>
            <w:vAlign w:val="center"/>
            <w:textDirection w:val="lrTb"/>
            <w:noWrap w:val="false"/>
          </w:tcPr>
          <w:p>
            <w:pPr>
              <w:jc w:val="left"/>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Dual-Emission ZAISe/ZnS quantum dots for Multi-level Bio-Imaging: Foam cells and atherosclerotic plaque imaging</w:t>
            </w:r>
            <w:r/>
          </w:p>
        </w:tc>
        <w:tc>
          <w:tcPr>
            <w:tcW w:w="1739"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张献明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杨仕钰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夏佳杉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Journal of colloid and interface science</w:t>
            </w:r>
            <w:r/>
          </w:p>
        </w:tc>
        <w:tc>
          <w:tcPr>
            <w:tcW w:w="1064" w:type="dxa"/>
            <w:vAlign w:val="center"/>
            <w:textDirection w:val="lrTb"/>
            <w:noWrap w:val="false"/>
          </w:tcPr>
          <w:p>
            <w:pPr>
              <w:jc w:val="center"/>
              <w:rPr>
                <w:rFonts w:ascii="Times New Roman" w:hAnsi="Times New Roman" w:cs="Times New Roman" w:eastAsia="楷体"/>
                <w:sz w:val="20"/>
                <w:szCs w:val="20"/>
              </w:rPr>
            </w:pPr>
            <w:r>
              <w:rPr>
                <w:rFonts w:ascii="Times New Roman" w:hAnsi="Times New Roman" w:cs="Times New Roman" w:eastAsia="楷体"/>
                <w:sz w:val="20"/>
                <w:szCs w:val="20"/>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5</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Surface Functionalization of Piperine-Loaded Liposomes with Sophorolipids Improves Drug Loading and Stability</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陈华黎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张倩玉</w:t>
            </w:r>
            <w:r/>
          </w:p>
        </w:tc>
        <w:tc>
          <w:tcPr>
            <w:tcW w:w="1600" w:type="dxa"/>
            <w:vAlign w:val="center"/>
            <w:textDirection w:val="lrTb"/>
            <w:noWrap w:val="false"/>
          </w:tcPr>
          <w:p>
            <w:pPr>
              <w:jc w:val="center"/>
              <w:widowControl/>
              <w:rPr>
                <w:rFonts w:ascii="Times New Roman" w:hAnsi="Times New Roman" w:cs="Times New Roman" w:eastAsia="楷体"/>
                <w:sz w:val="20"/>
                <w:szCs w:val="20"/>
              </w:rPr>
            </w:pPr>
            <w:r>
              <w:rPr>
                <w:rFonts w:ascii="Times New Roman" w:hAnsi="Times New Roman" w:cs="Times New Roman" w:eastAsia="楷体"/>
                <w:sz w:val="20"/>
                <w:szCs w:val="20"/>
                <w:lang w:bidi="ar"/>
              </w:rPr>
              <w:t xml:space="preserve">Journal of Pharmaceutical Innovation</w:t>
            </w:r>
            <w:r/>
          </w:p>
        </w:tc>
        <w:tc>
          <w:tcPr>
            <w:tcW w:w="1064" w:type="dxa"/>
            <w:vAlign w:val="center"/>
            <w:textDirection w:val="lrTb"/>
            <w:noWrap w:val="false"/>
          </w:tcPr>
          <w:p>
            <w:pPr>
              <w:jc w:val="center"/>
              <w:rPr>
                <w:rFonts w:ascii="Times New Roman" w:hAnsi="Times New Roman" w:cs="Times New Roman" w:eastAsia="楷体"/>
                <w:sz w:val="20"/>
                <w:szCs w:val="20"/>
              </w:rPr>
            </w:pPr>
            <w:r>
              <w:rPr>
                <w:rFonts w:ascii="Times New Roman" w:hAnsi="Times New Roman" w:cs="Times New Roman" w:eastAsia="楷体"/>
                <w:sz w:val="20"/>
                <w:szCs w:val="20"/>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6</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大花黄牡丹种子的质量评价及初步抗氧化活性研究</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秦伟翰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兰小中</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瞿显友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樵星芳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w:t>
            </w:r>
            <w:r>
              <w:rPr>
                <w:rFonts w:ascii="Times New Roman" w:hAnsi="Times New Roman" w:cs="Times New Roman" w:eastAsia="楷体"/>
                <w:sz w:val="20"/>
                <w:szCs w:val="20"/>
                <w:lang w:bidi="ar"/>
              </w:rPr>
              <w:t xml:space="preserve"> </w:t>
            </w:r>
            <w:r>
              <w:rPr>
                <w:rFonts w:ascii="Times New Roman" w:hAnsi="Times New Roman" w:cs="Times New Roman" w:eastAsia="楷体"/>
                <w:sz w:val="20"/>
                <w:szCs w:val="20"/>
                <w:lang w:bidi="ar"/>
              </w:rPr>
              <w:t xml:space="preserve">翔</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徐元江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邹佳佳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何丹</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天然产物研究与开发</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7</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二阿魏酰基甲烷纳米乳的肠吸收和药代动力学研究</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杨婕</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雷婷婷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赵德璋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张景勍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徐靖鑫</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赵华</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中国临床药理学杂志</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8</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Biomimetic macrophage membrane-coated gold-quantum dots with tumor microenvironment stimuli-responsive capability for tumor theranostic</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王帆</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余清华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蒋君好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MATERIALS TODAY BIO</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9</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MiR-702-5p ameliorates diabetic encephalopathy in db/db mice by regulating 12/15-LOX</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涂钰钧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郭文佳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向葡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黄海烽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费慧芝</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彭哲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顾超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谭晓丹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刘霞</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鲁懿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陈蓉春</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EXPERIMENTAL NEUROLOGY</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10</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Polyglycerol fatty acid esters as alternatives to PEGylated lipids for liposome coating</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陈华黎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张倩玉</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Nanomedicine</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11</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Development of polymeric microparticles for controlled release of bioactive drugs using modified solution enhanced dispersion by supercritical CO2</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辜鹏程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董宇涵</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衣启营</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成锡婷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张子阳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张丽娟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白燕</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The Journal of Supercritical Fluids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12</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呼吸重症监护病房患者耐碳青霉烯肺炎克雷伯菌感染死亡危险因素分析</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张欢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周维英</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蔡芸</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袁梽漪</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中国临床药理学杂志</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13</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High-efficiency removal of methcathinone from water using a novel DES modified magnetic biochar nanocomposite</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黄静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曹淑瑞</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刘正红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田杰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郗存显</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陈志琼</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Journal of Environmental Chemical Engineering</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10: 108456</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14</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A rapid construction of new boron heterocycles and evaluation of photophysical properties of iminoboronates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匡秋林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胡雪原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李雁武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商素琴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廖思维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宋一波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马婉倩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李素真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刘阿琴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刘小玲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张修宇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袁建勇</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Organic &amp; Biomolecular Chemistry</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15</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Blood-brain barrier penetrating carbon dots with intrinsic anti-inflammatory and drug-loading properties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张献明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余清华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杨仕钰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夏佳杉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Biomaterials Advances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16</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Pyridine hydrochloride-promoted C-C bond cleavage approach: A metal-free and peroxide-free facile method for the synthesis of amide derivatives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刘阿琴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李雁武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张修宇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匡秋林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李素真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廖思维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吴惠丽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郭梦怡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马婉倩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宋一波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胡雪原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袁建勇</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Tetrahedron Letters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17</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Different decorated ZIF-67 adsorption performance towards methamphetamine revealed by theoretical and experimental investigations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宋凤娇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曹淑瑞</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刘正红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苏泓滔</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陈志琼</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Journal of Molecular Liquids</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364: 119950</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18</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Ionic melting salt imidazole hydrochloride mediated the decarboxylation of (hetero)aromatic carboxylic acids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王印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李雁武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廖思维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张修宇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袁建勇</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Tetrahedron Letters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19</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Ferrocene-based multifunctional nanoparticles for combined chemo/chemodynamic/photothermal therapy</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杨嘉慧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张良珂</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J Colloid Interface Sci</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20</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Imidazole Hydrochloride Promoted Synthesis of Nitriles from Aldehydes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王印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王雪桐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李雁武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张修宇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李玲莉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何婷舒</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袁建勇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商素琴</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Current Organic Synthesis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21</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Intracellular K+-Responsive Block Copolymer Micelles for Targeted Drug Delivery of Curcumin</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江明月</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余清华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张献明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荆卫红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马丽梅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阳章友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Frontiers in Bioengineering and Biotechnology</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22</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Signal-on and selective detection of anti-tumor </w:t>
            </w:r>
            <w:r>
              <w:rPr>
                <w:rFonts w:ascii="Times New Roman" w:hAnsi="Times New Roman" w:cs="Times New Roman" w:eastAsia="楷体"/>
                <w:sz w:val="20"/>
                <w:szCs w:val="20"/>
                <w:lang w:bidi="ar"/>
              </w:rPr>
              <w:t xml:space="preserve">adjunctive drug zoledronic acid using fluorescent sulfur quantum dots</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谭娟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毕小雅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w:t>
            </w:r>
            <w:r>
              <w:rPr>
                <w:rFonts w:ascii="Times New Roman" w:hAnsi="Times New Roman" w:cs="Times New Roman" w:eastAsia="楷体"/>
                <w:sz w:val="20"/>
                <w:szCs w:val="20"/>
                <w:lang w:bidi="ar"/>
              </w:rPr>
              <w:t xml:space="preserve">一遥</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王燚</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张普</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Dyes and pigments</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2022, 205, </w:t>
            </w:r>
            <w:r>
              <w:rPr>
                <w:rFonts w:ascii="Times New Roman" w:hAnsi="Times New Roman" w:cs="Times New Roman" w:eastAsia="楷体"/>
                <w:sz w:val="20"/>
                <w:szCs w:val="20"/>
                <w:lang w:bidi="ar"/>
              </w:rPr>
              <w:t xml:space="preserve">110520</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23</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Baicalein Prevents Fructose-Induced Hepatic Steatosis in Rats: In the Regulation of Fatty Acid De Novo Synthesis, Fatty Acid Elongation and Fatty Acid Oxidation</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李盼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张若玉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陈雨微</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柯秀梅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左玲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王建伟</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Frontiers in pharmacology</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13:917329</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24</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Determination of 23 related analytes in bone marrow fluid and hippocampus of C57BL/6 mice on cerebral ischemia-reperfusion injury by HPLC-FLD</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张静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李建沙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龚涛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黄素琼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熊焱</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蒋心惠</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biomedical chromatography</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25</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基于部分药效和毒副作用探索中药汤剂抑苦掩味伴侣剂的影响：以黄连解</w:t>
            </w:r>
            <w:r>
              <w:rPr>
                <w:rFonts w:ascii="Times New Roman" w:hAnsi="Times New Roman" w:cs="Times New Roman" w:eastAsia="楷体"/>
                <w:sz w:val="20"/>
                <w:szCs w:val="20"/>
                <w:lang w:bidi="ar"/>
              </w:rPr>
              <w:t xml:space="preserve"> </w:t>
            </w:r>
            <w:r>
              <w:rPr>
                <w:rFonts w:ascii="Times New Roman" w:hAnsi="Times New Roman" w:cs="Times New Roman" w:eastAsia="楷体"/>
                <w:sz w:val="20"/>
                <w:szCs w:val="20"/>
                <w:lang w:bidi="ar"/>
              </w:rPr>
              <w:t xml:space="preserve">毒汤为例</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柯秀梅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周文杰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廖丽萍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肖浪浪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施汝欣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王建伟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韩丽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张定堃</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中草药</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53(12):3625-3631</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26</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The relationship between the contents of 13 amino acids in brain tissues  and the progression of NAFLD via C57BL/6 model mice</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黄素琼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万敬员</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杜婷婷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龚涛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蒋心惠</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Journal of Chinese Pharmaceutical Sciences</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27</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Better bioactivity, cerebral metabolism and pharmacokinetics of natural medicine and its advanced version</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谢佳希</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钟彩灵</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吕露阳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杨婕</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袁子怡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张景勍</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Front Pharmacol</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2022 Jun 27;13:937075</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28</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盐酸小檗碱脂质纳米粒的药代动力学及生物等效性研究</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袁誉铭</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徐靖鑫</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张景勍</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中国临床药理学杂志</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2022,38</w:t>
            </w:r>
            <w:r/>
          </w:p>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(11):1251-1254</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29</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Screening of and mechanism underlying </w:t>
            </w:r>
            <w:r>
              <w:rPr>
                <w:rFonts w:ascii="Times New Roman" w:hAnsi="Times New Roman" w:cs="Times New Roman" w:eastAsia="楷体"/>
                <w:sz w:val="20"/>
                <w:szCs w:val="20"/>
                <w:lang w:bidi="ar"/>
              </w:rPr>
              <w:t xml:space="preserve">the action of serum- and glucocorticoid-regulated kinase 3-targeted drugs against estrogen receptor-positive breast cancer</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周端方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于晓萍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宋燚</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曾鸿芳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王雅蘭</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李虹瑶</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刘旭</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何起臣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李小丽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周维英</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European Journal of </w:t>
            </w:r>
            <w:r>
              <w:rPr>
                <w:rFonts w:ascii="Times New Roman" w:hAnsi="Times New Roman" w:cs="Times New Roman" w:eastAsia="楷体"/>
                <w:sz w:val="20"/>
                <w:szCs w:val="20"/>
                <w:lang w:bidi="ar"/>
              </w:rPr>
              <w:t xml:space="preserve">Pharmacology</w:t>
            </w:r>
            <w:r/>
          </w:p>
        </w:tc>
        <w:tc>
          <w:tcPr>
            <w:tcW w:w="1064" w:type="dxa"/>
            <w:vAlign w:val="center"/>
            <w:textDirection w:val="lrTb"/>
            <w:noWrap w:val="false"/>
          </w:tcPr>
          <w:p>
            <w:pPr>
              <w:jc w:val="center"/>
              <w:rPr>
                <w:rFonts w:ascii="Times New Roman" w:hAnsi="Times New Roman" w:cs="Times New Roman" w:eastAsia="楷体"/>
              </w:rPr>
            </w:pPr>
            <w:r>
              <w:rPr>
                <w:rFonts w:ascii="Times New Roman" w:hAnsi="Times New Roman" w:cs="Times New Roman" w:eastAsia="楷体"/>
              </w:rPr>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sz w:val="22"/>
                <w:szCs w:val="22"/>
              </w:rPr>
              <w:t xml:space="preserve">30</w:t>
            </w:r>
            <w:r/>
          </w:p>
        </w:tc>
        <w:tc>
          <w:tcPr>
            <w:tcW w:w="2208" w:type="dxa"/>
            <w:vAlign w:val="center"/>
            <w:textDirection w:val="lrTb"/>
            <w:noWrap w:val="false"/>
          </w:tcPr>
          <w:p>
            <w:pPr>
              <w:jc w:val="left"/>
              <w:widowControl/>
              <w:rPr>
                <w:rFonts w:ascii="Times New Roman" w:hAnsi="Times New Roman" w:cs="Times New Roman" w:eastAsia="楷体"/>
              </w:rPr>
            </w:pPr>
            <w:r>
              <w:rPr>
                <w:rFonts w:ascii="Times New Roman" w:hAnsi="Times New Roman" w:cs="Times New Roman" w:eastAsia="楷体"/>
                <w:sz w:val="20"/>
                <w:szCs w:val="20"/>
                <w:lang w:bidi="ar"/>
              </w:rPr>
              <w:t xml:space="preserve">Oral supramolecular nanovectors for dual natural medicine codelivery to prevent gastric mucosal lesion</w:t>
            </w:r>
            <w:r/>
          </w:p>
        </w:tc>
        <w:tc>
          <w:tcPr>
            <w:tcW w:w="1739"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陈云</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张敏</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赵华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刘颖菊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雷婷婷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向晓燕</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吕露阳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袁子怡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徐靖鑫</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张景勍</w:t>
            </w:r>
            <w:r/>
          </w:p>
        </w:tc>
        <w:tc>
          <w:tcPr>
            <w:tcW w:w="1600"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Nanoscale</w:t>
            </w:r>
            <w:r/>
          </w:p>
        </w:tc>
        <w:tc>
          <w:tcPr>
            <w:tcW w:w="1064"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2022 Jun 7;14:8967-8977</w:t>
            </w:r>
            <w:r/>
          </w:p>
        </w:tc>
        <w:tc>
          <w:tcPr>
            <w:tcW w:w="776"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sz w:val="22"/>
                <w:szCs w:val="22"/>
              </w:rPr>
            </w:pPr>
            <w:r>
              <w:rPr>
                <w:rFonts w:ascii="Times New Roman" w:hAnsi="Times New Roman" w:cs="Times New Roman" w:eastAsia="楷体"/>
                <w:sz w:val="22"/>
                <w:szCs w:val="22"/>
              </w:rPr>
              <w:t xml:space="preserve">31</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肌腱仿生用定向</w:t>
            </w:r>
            <w:r>
              <w:rPr>
                <w:rFonts w:ascii="Times New Roman" w:hAnsi="Times New Roman" w:cs="Times New Roman" w:eastAsia="楷体"/>
                <w:sz w:val="20"/>
                <w:szCs w:val="20"/>
                <w:lang w:bidi="ar"/>
              </w:rPr>
              <w:t xml:space="preserve"> PLLA </w:t>
            </w:r>
            <w:r>
              <w:rPr>
                <w:rFonts w:ascii="Times New Roman" w:hAnsi="Times New Roman" w:cs="Times New Roman" w:eastAsia="楷体"/>
                <w:sz w:val="20"/>
                <w:szCs w:val="20"/>
                <w:lang w:bidi="ar"/>
              </w:rPr>
              <w:t xml:space="preserve">微纳米纤维的静电纺丝工艺参数研究</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董宇涵</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辜鹏程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张子阳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张丽娟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白燕</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材料科学与工艺</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32</w:t>
            </w:r>
            <w:r/>
          </w:p>
          <w:p>
            <w:pPr>
              <w:pStyle w:val="395"/>
              <w:jc w:val="center"/>
              <w:rPr>
                <w:rFonts w:eastAsia="楷体"/>
              </w:rPr>
              <w:outlineLvl w:val="0"/>
            </w:pPr>
            <w:r>
              <w:rPr>
                <w:rFonts w:eastAsia="楷体"/>
              </w:rPr>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Maternal Prenatal Inflammation Increases Brain Damage Susceptibility of Lipopolysaccharide in Adult Rat Offspring via COX-2/PGD-2/DPs Pathway Activation</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张家化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姚佩双</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韩文莉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李雨珂</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胡聪俐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黄海烽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彭哲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谭晓丹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李苗苗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International Journal of Molecular Sciences</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33</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PPARβ</w:t>
            </w:r>
            <w:r>
              <w:rPr>
                <w:rFonts w:ascii="Times New Roman" w:hAnsi="Times New Roman" w:cs="Times New Roman" w:eastAsia="楷体"/>
                <w:sz w:val="20"/>
                <w:szCs w:val="20"/>
                <w:lang w:bidi="ar"/>
              </w:rPr>
              <w:t xml:space="preserve">调控硝化应激参与高糖对内皮细胞的损伤</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阳创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熊宝萍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郑雲丹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李斯曼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周上钧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蒋青松</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中国药理学通报</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38</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6</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848-53</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34</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儿童家长使用抗菌药物自我药疗认知水平及影响因素研究</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陈思芪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严波</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陆军军医大学学报</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35</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Design of Rational JAK3 Inhibitors Based on the Parent Core Structure of 1,7-Dihydro-Dipyrrolo [2,3-b:30 ,20 -e] Pyridine</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李奕昊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孟丹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谢佳利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李若雨</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王梓璠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李金龙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牟林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邓昕豪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邓萍</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INTERNATIONAL JOURNAL OF MOLECULAR SCIENCES</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23:5437</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36</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Distinct role of mono-2-ethylhexyl phthalate in neuronal transmission in rat CA3 hippocampal neurons: involvement of ion channels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鲁懿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蒋文高</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辛红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,Santiago Loya-López(</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顾怀宇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冉冬芝</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Molecules</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27(10), 3082</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37</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Pd-Catalyzed Tandem [5 + 2] Cycloaddition/Ring Contraction of Phthalide-Derived Alkenes and Vinylethylene Carbonates for the Construction of Benzo-[5,5]-spiroketal Lactones.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熊强</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石柳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冉光尧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冉光尧</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Organic Letters</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38</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GC</w:t>
            </w:r>
            <w:r>
              <w:rPr>
                <w:rFonts w:ascii="Times New Roman" w:hAnsi="Times New Roman" w:cs="Times New Roman" w:eastAsia="楷体"/>
                <w:sz w:val="20"/>
                <w:szCs w:val="20"/>
                <w:lang w:bidi="ar"/>
              </w:rPr>
              <w:t xml:space="preserve">法测定恩替卡韦中的苯甲醇和氯化苄</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王娜娜</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张道林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蒋心惠</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华西药学杂志</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w:t>
            </w:r>
            <w:r>
              <w:rPr>
                <w:rFonts w:ascii="Times New Roman" w:hAnsi="Times New Roman" w:cs="Times New Roman" w:eastAsia="楷体"/>
                <w:sz w:val="20"/>
                <w:szCs w:val="20"/>
                <w:lang w:bidi="ar"/>
              </w:rPr>
              <w:t xml:space="preserve">年</w:t>
            </w:r>
            <w:r>
              <w:rPr>
                <w:rFonts w:ascii="Times New Roman" w:hAnsi="Times New Roman" w:cs="Times New Roman" w:eastAsia="楷体"/>
                <w:sz w:val="20"/>
                <w:szCs w:val="20"/>
                <w:lang w:bidi="ar"/>
              </w:rPr>
              <w:t xml:space="preserve">4</w:t>
            </w:r>
            <w:r>
              <w:rPr>
                <w:rFonts w:ascii="Times New Roman" w:hAnsi="Times New Roman" w:cs="Times New Roman" w:eastAsia="楷体"/>
                <w:sz w:val="20"/>
                <w:szCs w:val="20"/>
                <w:lang w:bidi="ar"/>
              </w:rPr>
              <w:t xml:space="preserve">月第</w:t>
            </w:r>
            <w:r>
              <w:rPr>
                <w:rFonts w:ascii="Times New Roman" w:hAnsi="Times New Roman" w:cs="Times New Roman" w:eastAsia="楷体"/>
                <w:sz w:val="20"/>
                <w:szCs w:val="20"/>
                <w:lang w:bidi="ar"/>
              </w:rPr>
              <w:t xml:space="preserve">37</w:t>
            </w:r>
            <w:r>
              <w:rPr>
                <w:rFonts w:ascii="Times New Roman" w:hAnsi="Times New Roman" w:cs="Times New Roman" w:eastAsia="楷体"/>
                <w:sz w:val="20"/>
                <w:szCs w:val="20"/>
                <w:lang w:bidi="ar"/>
              </w:rPr>
              <w:t xml:space="preserve">卷第二期</w:t>
            </w:r>
            <w:r>
              <w:rPr>
                <w:rFonts w:ascii="Times New Roman" w:hAnsi="Times New Roman" w:cs="Times New Roman" w:eastAsia="楷体"/>
                <w:sz w:val="20"/>
                <w:szCs w:val="20"/>
                <w:lang w:bidi="ar"/>
              </w:rPr>
              <w:t xml:space="preserve">203</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39</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HPLC</w:t>
            </w:r>
            <w:r>
              <w:rPr>
                <w:rFonts w:ascii="Times New Roman" w:hAnsi="Times New Roman" w:cs="Times New Roman" w:eastAsia="楷体"/>
                <w:sz w:val="20"/>
                <w:szCs w:val="20"/>
                <w:lang w:bidi="ar"/>
              </w:rPr>
              <w:t xml:space="preserve">测定抑郁症大鼠脑脊液与血浆中的</w:t>
            </w:r>
            <w:r>
              <w:rPr>
                <w:rFonts w:ascii="Times New Roman" w:hAnsi="Times New Roman" w:cs="Times New Roman" w:eastAsia="楷体"/>
                <w:sz w:val="20"/>
                <w:szCs w:val="20"/>
                <w:lang w:bidi="ar"/>
              </w:rPr>
              <w:t xml:space="preserve">7</w:t>
            </w:r>
            <w:r>
              <w:rPr>
                <w:rFonts w:ascii="Times New Roman" w:hAnsi="Times New Roman" w:cs="Times New Roman" w:eastAsia="楷体"/>
                <w:sz w:val="20"/>
                <w:szCs w:val="20"/>
                <w:lang w:bidi="ar"/>
              </w:rPr>
              <w:t xml:space="preserve">种氨基酸</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崔婷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邱红梅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刘永红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杜婷婷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李建沙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蒋心惠</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华西药学杂志</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w:t>
            </w:r>
            <w:r>
              <w:rPr>
                <w:rFonts w:ascii="Times New Roman" w:hAnsi="Times New Roman" w:cs="Times New Roman" w:eastAsia="楷体"/>
                <w:sz w:val="20"/>
                <w:szCs w:val="20"/>
                <w:lang w:bidi="ar"/>
              </w:rPr>
              <w:t xml:space="preserve">年</w:t>
            </w:r>
            <w:r>
              <w:rPr>
                <w:rFonts w:ascii="Times New Roman" w:hAnsi="Times New Roman" w:cs="Times New Roman" w:eastAsia="楷体"/>
                <w:sz w:val="20"/>
                <w:szCs w:val="20"/>
                <w:lang w:bidi="ar"/>
              </w:rPr>
              <w:t xml:space="preserve">4</w:t>
            </w:r>
            <w:r>
              <w:rPr>
                <w:rFonts w:ascii="Times New Roman" w:hAnsi="Times New Roman" w:cs="Times New Roman" w:eastAsia="楷体"/>
                <w:sz w:val="20"/>
                <w:szCs w:val="20"/>
                <w:lang w:bidi="ar"/>
              </w:rPr>
              <w:t xml:space="preserve">月第</w:t>
            </w:r>
            <w:r>
              <w:rPr>
                <w:rFonts w:ascii="Times New Roman" w:hAnsi="Times New Roman" w:cs="Times New Roman" w:eastAsia="楷体"/>
                <w:sz w:val="20"/>
                <w:szCs w:val="20"/>
                <w:lang w:bidi="ar"/>
              </w:rPr>
              <w:t xml:space="preserve">37</w:t>
            </w:r>
            <w:r>
              <w:rPr>
                <w:rFonts w:ascii="Times New Roman" w:hAnsi="Times New Roman" w:cs="Times New Roman" w:eastAsia="楷体"/>
                <w:sz w:val="20"/>
                <w:szCs w:val="20"/>
                <w:lang w:bidi="ar"/>
              </w:rPr>
              <w:t xml:space="preserve">卷第</w:t>
            </w:r>
            <w:r>
              <w:rPr>
                <w:rFonts w:ascii="Times New Roman" w:hAnsi="Times New Roman" w:cs="Times New Roman" w:eastAsia="楷体"/>
                <w:sz w:val="20"/>
                <w:szCs w:val="20"/>
                <w:lang w:bidi="ar"/>
              </w:rPr>
              <w:t xml:space="preserve">2</w:t>
            </w:r>
            <w:r>
              <w:rPr>
                <w:rFonts w:ascii="Times New Roman" w:hAnsi="Times New Roman" w:cs="Times New Roman" w:eastAsia="楷体"/>
                <w:sz w:val="20"/>
                <w:szCs w:val="20"/>
                <w:lang w:bidi="ar"/>
              </w:rPr>
              <w:t xml:space="preserve">期</w:t>
            </w:r>
            <w:r>
              <w:rPr>
                <w:rFonts w:ascii="Times New Roman" w:hAnsi="Times New Roman" w:cs="Times New Roman" w:eastAsia="楷体"/>
                <w:sz w:val="20"/>
                <w:szCs w:val="20"/>
                <w:lang w:bidi="ar"/>
              </w:rPr>
              <w:t xml:space="preserve">187</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40</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Baicalin ameliorates alcohol-induced hepatic steatosis by suppressing SREBP1c elicited PNPLA3 competitive binding to ATGL</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李盼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陈雨微</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柯秀梅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张若玉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左玲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罗先钦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王建伟</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ARCHIVES OF BIOCHEMISTRY AND BIOPHYSICS</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722:109236</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41</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Maternal Inflammation Exaggerates Offspring Susceptibility to Cerebral Ischemia–Reperfusion Injury via the COX-2/PGD2/DP2 Pathway Activation</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李雨珂</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张家化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韩文莉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夏慧</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陈志昊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胡聪俐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黄海烽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彭哲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w:t>
            </w:r>
            <w:r>
              <w:rPr>
                <w:rFonts w:ascii="Times New Roman" w:hAnsi="Times New Roman" w:cs="Times New Roman" w:eastAsia="楷体"/>
                <w:sz w:val="20"/>
                <w:szCs w:val="20"/>
                <w:lang w:bidi="ar"/>
              </w:rPr>
              <w:t xml:space="preserve">晓丹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李苗苗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Oxidative Medicine and Cellular Longevity</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42</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Hydrochloride Berberine ameliorates alcohol-induced liver injury by regulating inflammation and lipid metabolism</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柯秀梅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张若玉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左玲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杨军宣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王建伟</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Biochemical and Biophysical Research Communications</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610 (2022) 49-55</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43</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新冠疫情常态化下高校药学类科研实验室管理的实践与探索</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张万萍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沈沅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于瑞红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马丽梅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袁梽漪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余瑜</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医师在线</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第</w:t>
            </w:r>
            <w:r>
              <w:rPr>
                <w:rFonts w:ascii="Times New Roman" w:hAnsi="Times New Roman" w:cs="Times New Roman" w:eastAsia="楷体"/>
                <w:sz w:val="20"/>
                <w:szCs w:val="20"/>
                <w:lang w:bidi="ar"/>
              </w:rPr>
              <w:t xml:space="preserve">9</w:t>
            </w:r>
            <w:r>
              <w:rPr>
                <w:rFonts w:ascii="Times New Roman" w:hAnsi="Times New Roman" w:cs="Times New Roman" w:eastAsia="楷体"/>
                <w:sz w:val="20"/>
                <w:szCs w:val="20"/>
                <w:lang w:bidi="ar"/>
              </w:rPr>
              <w:t xml:space="preserve">卷</w:t>
            </w:r>
            <w:r>
              <w:rPr>
                <w:rFonts w:ascii="Times New Roman" w:hAnsi="Times New Roman" w:cs="Times New Roman" w:eastAsia="楷体"/>
                <w:sz w:val="20"/>
                <w:szCs w:val="20"/>
                <w:lang w:bidi="ar"/>
              </w:rPr>
              <w:t xml:space="preserve">8</w:t>
            </w:r>
            <w:r>
              <w:rPr>
                <w:rFonts w:ascii="Times New Roman" w:hAnsi="Times New Roman" w:cs="Times New Roman" w:eastAsia="楷体"/>
                <w:sz w:val="20"/>
                <w:szCs w:val="20"/>
                <w:lang w:bidi="ar"/>
              </w:rPr>
              <w:t xml:space="preserve">期</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中文专著</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44</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Imidazolium chloride as an additive for synthesis of perimidines using 1,8-di‐ aminonaphthalene and DMF derivatives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张修宇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廖思维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刘阿琴</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刘小玲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匡秋林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黄欣</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吴慧丽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袁建勇</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Tetrahedron Letters</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45</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网络毒理方法用于抗生素肝毒性预测的研究</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唐甜甜</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张永红</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国外医药抗生素分册</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中文专著</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46</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Peripheral Neuropathy During Concomitant Administration of Proteasome Inhibitors and Factor Xa Inhibitors: Identifying the Likelihood of Drug-Drug Interactions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蒙龙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黄靓</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邱峰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单雪峰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孙树森</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王郁薇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Frontiers in Pharmacology</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47</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Divergent oxidative dearomatization coupling reactions to construct polycyclic cyclohexadienones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蒲倩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霍明明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梁国娟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白丽娟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陈艮辉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李红娇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向鹏</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周静</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CHEMICAL COMMUNICATIONS</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48</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miR-204-5p is sponged by TUG1 to aggravate neuron damage induced by focal cerebral ischemia and reperfusion injury through upregulating </w:t>
            </w:r>
            <w:r>
              <w:rPr>
                <w:rFonts w:ascii="Times New Roman" w:hAnsi="Times New Roman" w:cs="Times New Roman" w:eastAsia="楷体"/>
                <w:sz w:val="20"/>
                <w:szCs w:val="20"/>
                <w:lang w:bidi="ar"/>
              </w:rPr>
              <w:t xml:space="preserve">COX2</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向葡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胡建</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罗映</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顾超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谭晓丹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涂钰均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郭文佳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高林</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陈蓉春</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CELL  DEATH  DISCOVERY</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49</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川渝地区家长自行对儿童使用抗菌药物的调查分析</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陈思芪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郑航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严波</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中国药房</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中文专著</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50</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Antigen-Presenting Cell-Like Neutrophils Foster T Cell Response in Hyperlipidemic Patients and Atherosclerotic Mice.</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赵庭瑞</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蒋青松</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李文明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王隐</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邹瑶</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柴鑫雨</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袁梽漪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马丽梅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于瑞红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王婷婷</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Frontiers  in Immunology</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51</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Sestrin2 reduces cancer stemness via Wnt/β-catenin signaling in colorectal cancer</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魏锦来</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郑相如</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李文军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李小丽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傅仲学</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Cancer Cell International</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22</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1</w:t>
            </w:r>
            <w:r>
              <w:rPr>
                <w:rFonts w:ascii="Times New Roman" w:hAnsi="Times New Roman" w:cs="Times New Roman" w:eastAsia="楷体"/>
                <w:sz w:val="20"/>
                <w:szCs w:val="20"/>
                <w:lang w:bidi="ar"/>
              </w:rPr>
              <w:t xml:space="preserve">）</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52</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Titanium-Mediated Domino Cross-Coupling/Cyclodehydration and Aldol-Addition/Cyclocondensation: Concise and Regioselective Synthesis of Polysubstituted and Fused Furans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任路</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罗娟</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谭林波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唐强</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The Journal of Organic Chemistry</w:t>
            </w:r>
            <w:r/>
          </w:p>
        </w:tc>
        <w:tc>
          <w:tcPr>
            <w:tcW w:w="1064" w:type="dxa"/>
            <w:vAlign w:val="center"/>
            <w:textDirection w:val="lrTb"/>
            <w:noWrap w:val="false"/>
          </w:tcPr>
          <w:p>
            <w:pP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87, 3167-3176</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53</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Functionalized Mn3O4 Nanosheets with Photothermal,Photodynamic, and Oxidase-Like Activities Triggered by Low-Powered Near-Infrared Light for Synergetic Combating Multidrug-Resistant Bacterial Infections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张馨文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闵远弘</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张琪</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吴世阅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付文升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吴茳玲</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黎明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王燚</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张普</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Adv. Healthcare Mater.</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2022, 2200121</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54</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药学为民</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融入药学研究生新药研发专业教学的探索</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张景勍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冯涛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李天泉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张永红</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新教育时代</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2022(5):133-135</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中文专著</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55</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Promoting Apoptosis, a Promising Way to Treat Breast Cancer With Natural Products: A Comprehensive Review</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袁烈</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蔡永青</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张亮</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刘思佳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李攀</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李小丽</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Frontiers in pharmacology</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56</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Schizophrenia predisposition gene Unc</w:t>
            </w:r>
            <w:r>
              <w:rPr>
                <w:rFonts w:ascii="Times New Roman" w:hAnsi="Times New Roman" w:cs="Times New Roman" w:eastAsia="楷体"/>
                <w:sz w:val="20"/>
                <w:szCs w:val="20"/>
                <w:lang w:bidi="ar"/>
              </w:rPr>
              <w:noBreakHyphen/>
              <w:t xml:space="preserve">51</w:t>
            </w:r>
            <w:r>
              <w:rPr>
                <w:rFonts w:ascii="Times New Roman" w:hAnsi="Times New Roman" w:cs="Times New Roman" w:eastAsia="楷体"/>
                <w:sz w:val="20"/>
                <w:szCs w:val="20"/>
                <w:lang w:bidi="ar"/>
              </w:rPr>
              <w:noBreakHyphen/>
              <w:t xml:space="preserve">like kinase 4 for the improvement of cerebral ischemia/reperfusion injury</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罗文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MOLECULAR BIOLOGY REPORTS</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57</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14,15-EET involved in the development of diabetic cardiac hypertrophy mediated by PPARs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阳创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邱红梅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杨俊霞</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吴柯</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丁淑梅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蒋成燕</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蒋青松</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Prostaglandins Other Lipid Mediat  .</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2022;159:106620.</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58</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单齿配体取代基对钌</w:t>
            </w:r>
            <w:r>
              <w:rPr>
                <w:rFonts w:ascii="Times New Roman" w:hAnsi="Times New Roman" w:cs="Times New Roman" w:eastAsia="楷体"/>
                <w:sz w:val="20"/>
                <w:szCs w:val="20"/>
                <w:lang w:bidi="ar"/>
              </w:rPr>
              <w:t xml:space="preserve">( II)</w:t>
            </w:r>
            <w:r>
              <w:rPr>
                <w:rFonts w:ascii="Times New Roman" w:hAnsi="Times New Roman" w:cs="Times New Roman" w:eastAsia="楷体"/>
                <w:sz w:val="20"/>
                <w:szCs w:val="20"/>
                <w:lang w:bidi="ar"/>
              </w:rPr>
              <w:t xml:space="preserve">芳烃配合物光致配体解离能力的影响</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李静思</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赵华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刘珊</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陈永洁</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化学通报</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59</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Biomimetic lipidic nanovectors for effective asparaginase supramolecule delivery</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吴艳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万胜利</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陈云</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范京川</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李瑶</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王婷婷</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袁子怡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杨强</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秦红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徐靖鑫</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张景勍</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Nanomedicine: Nanotechnology, Biology, and Medicine</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41:102518</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60</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ZIF-based carbon dots with lysosome-Golgi transport property as visualization platform for deep tumour therapy via hierarchical size/charge dual-transform and transcytosis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张献明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蒋君好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余清华</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杨仕钰</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夏佳杉</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邓涛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于超</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Nanoscale</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61</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ｍ</w:t>
            </w:r>
            <w:r>
              <w:rPr>
                <w:rFonts w:ascii="Times New Roman" w:hAnsi="Times New Roman" w:cs="Times New Roman" w:eastAsia="楷体"/>
                <w:sz w:val="20"/>
                <w:szCs w:val="20"/>
                <w:lang w:bidi="ar"/>
              </w:rPr>
              <w:t xml:space="preserve">iR-204-5p</w:t>
            </w:r>
            <w:r>
              <w:rPr>
                <w:rFonts w:ascii="Times New Roman" w:hAnsi="Times New Roman" w:cs="Times New Roman" w:eastAsia="楷体"/>
                <w:sz w:val="20"/>
                <w:szCs w:val="20"/>
                <w:lang w:bidi="ar"/>
              </w:rPr>
              <w:t xml:space="preserve">在氧糖剥夺</w:t>
            </w:r>
            <w:r>
              <w:rPr>
                <w:rFonts w:ascii="Times New Roman" w:hAnsi="Times New Roman" w:cs="Times New Roman" w:eastAsia="楷体"/>
                <w:sz w:val="20"/>
                <w:szCs w:val="20"/>
                <w:lang w:bidi="ar"/>
              </w:rPr>
              <w:t xml:space="preserve"> </w:t>
            </w:r>
            <w:r>
              <w:rPr>
                <w:rFonts w:ascii="Times New Roman" w:hAnsi="Times New Roman" w:cs="Times New Roman" w:eastAsia="楷体"/>
                <w:sz w:val="20"/>
                <w:szCs w:val="20"/>
                <w:lang w:bidi="ar"/>
              </w:rPr>
              <w:t xml:space="preserve">／复糖复氧致</w:t>
            </w:r>
            <w:r>
              <w:rPr>
                <w:rFonts w:ascii="Times New Roman" w:hAnsi="Times New Roman" w:cs="Times New Roman" w:eastAsia="楷体"/>
                <w:sz w:val="20"/>
                <w:szCs w:val="20"/>
                <w:lang w:bidi="ar"/>
              </w:rPr>
              <w:t xml:space="preserve">SH-SY5Y</w:t>
            </w:r>
            <w:r>
              <w:rPr>
                <w:rFonts w:ascii="Times New Roman" w:hAnsi="Times New Roman" w:cs="Times New Roman" w:eastAsia="楷体"/>
                <w:sz w:val="20"/>
                <w:szCs w:val="20"/>
                <w:lang w:bidi="ar"/>
              </w:rPr>
              <w:t xml:space="preserve">细胞损伤中的作用研究</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涂钰均</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向葡</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郭文佳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顾超</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谭晓丹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杨俊卿</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中国药学杂志</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CSCD</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62</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Endoplasmic reticulum stress inhibits AR expression via the PERK/eIF2α/ATF4 pathway in luminal androgen receptor triple-negative breast </w:t>
            </w:r>
            <w:r>
              <w:rPr>
                <w:rFonts w:ascii="Times New Roman" w:hAnsi="Times New Roman" w:cs="Times New Roman" w:eastAsia="楷体"/>
                <w:sz w:val="20"/>
                <w:szCs w:val="20"/>
                <w:lang w:bidi="ar"/>
              </w:rPr>
              <w:t xml:space="preserve">cancer and prostate cancer</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李小丽</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周端方</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蔡永青</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于晓萍</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郑相如</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陈波</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李文军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曾鸿芳</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),Moustapha Hassan(</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),Ying </w:t>
            </w:r>
            <w:r>
              <w:rPr>
                <w:rFonts w:ascii="Times New Roman" w:hAnsi="Times New Roman" w:cs="Times New Roman" w:eastAsia="楷体"/>
                <w:sz w:val="20"/>
                <w:szCs w:val="20"/>
                <w:lang w:bidi="ar"/>
              </w:rPr>
              <w:t xml:space="preserve">Zhao(</w:t>
            </w:r>
            <w:r>
              <w:rPr>
                <w:rFonts w:ascii="Times New Roman" w:hAnsi="Times New Roman" w:cs="Times New Roman" w:eastAsia="楷体"/>
                <w:sz w:val="20"/>
                <w:szCs w:val="20"/>
                <w:lang w:bidi="ar"/>
              </w:rPr>
              <w:t xml:space="preserve">外</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周维英</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npj Breast Cancer</w:t>
            </w:r>
            <w:r/>
          </w:p>
        </w:tc>
        <w:tc>
          <w:tcPr>
            <w:tcW w:w="1064"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1(8):1-13</w:t>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r>
        <w:trPr/>
        <w:tc>
          <w:tcPr>
            <w:tcW w:w="755" w:type="dxa"/>
            <w:vAlign w:val="center"/>
            <w:textDirection w:val="lrTb"/>
            <w:noWrap w:val="false"/>
          </w:tcPr>
          <w:p>
            <w:pPr>
              <w:jc w:val="center"/>
              <w:spacing w:after="163" w:before="163"/>
              <w:rPr>
                <w:rFonts w:ascii="Times New Roman" w:hAnsi="Times New Roman" w:cs="Times New Roman" w:eastAsia="楷体"/>
              </w:rPr>
            </w:pPr>
            <w:r>
              <w:rPr>
                <w:rFonts w:ascii="Times New Roman" w:hAnsi="Times New Roman" w:cs="Times New Roman" w:eastAsia="楷体"/>
              </w:rPr>
              <w:t xml:space="preserve">63</w:t>
            </w:r>
            <w:r/>
          </w:p>
        </w:tc>
        <w:tc>
          <w:tcPr>
            <w:tcW w:w="2208" w:type="dxa"/>
            <w:vAlign w:val="center"/>
            <w:textDirection w:val="lrTb"/>
            <w:noWrap w:val="false"/>
          </w:tcPr>
          <w:p>
            <w:pPr>
              <w:jc w:val="left"/>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A renewable electrochemical sensor based on chiral molecules self-assembled framework for efficient identification of tryptophan isomers</w:t>
            </w:r>
            <w:r/>
          </w:p>
        </w:tc>
        <w:tc>
          <w:tcPr>
            <w:tcW w:w="1739"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龚涛</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朱姝</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黄素琼</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辜鹏程</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熊焱</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张静</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学</w:t>
            </w:r>
            <w:r>
              <w:rPr>
                <w:rFonts w:ascii="Times New Roman" w:hAnsi="Times New Roman" w:cs="Times New Roman" w:eastAsia="楷体"/>
                <w:sz w:val="20"/>
                <w:szCs w:val="20"/>
                <w:lang w:bidi="ar"/>
              </w:rPr>
              <w:t xml:space="preserve">),</w:t>
            </w:r>
            <w:r>
              <w:rPr>
                <w:rFonts w:ascii="Times New Roman" w:hAnsi="Times New Roman" w:cs="Times New Roman" w:eastAsia="楷体"/>
                <w:sz w:val="20"/>
                <w:szCs w:val="20"/>
                <w:lang w:bidi="ar"/>
              </w:rPr>
              <w:t xml:space="preserve">蒋心惠</w:t>
            </w:r>
            <w:r/>
          </w:p>
        </w:tc>
        <w:tc>
          <w:tcPr>
            <w:tcW w:w="1600"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Analytica chemica acta</w:t>
            </w:r>
            <w:r/>
          </w:p>
        </w:tc>
        <w:tc>
          <w:tcPr>
            <w:tcW w:w="1064" w:type="dxa"/>
            <w:vAlign w:val="center"/>
            <w:textDirection w:val="lrTb"/>
            <w:noWrap w:val="false"/>
          </w:tcPr>
          <w:p>
            <w:pPr>
              <w:jc w:val="center"/>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r>
            <w:r/>
          </w:p>
        </w:tc>
        <w:tc>
          <w:tcPr>
            <w:tcW w:w="776" w:type="dxa"/>
            <w:vAlign w:val="center"/>
            <w:textDirection w:val="lrTb"/>
            <w:noWrap w:val="false"/>
          </w:tcPr>
          <w:p>
            <w:pPr>
              <w:jc w:val="center"/>
              <w:widowControl/>
              <w:rPr>
                <w:rFonts w:ascii="Times New Roman" w:hAnsi="Times New Roman" w:cs="Times New Roman" w:eastAsia="楷体"/>
                <w:sz w:val="20"/>
                <w:szCs w:val="20"/>
                <w:lang w:bidi="ar"/>
              </w:rPr>
            </w:pPr>
            <w:r>
              <w:rPr>
                <w:rFonts w:ascii="Times New Roman" w:hAnsi="Times New Roman" w:cs="Times New Roman" w:eastAsia="楷体"/>
                <w:sz w:val="20"/>
                <w:szCs w:val="20"/>
                <w:lang w:bidi="ar"/>
              </w:rPr>
              <w:t xml:space="preserve">SCI</w:t>
            </w:r>
            <w:r/>
          </w:p>
        </w:tc>
        <w:tc>
          <w:tcPr>
            <w:tcW w:w="755" w:type="dxa"/>
            <w:vAlign w:val="center"/>
            <w:textDirection w:val="lrTb"/>
            <w:noWrap w:val="false"/>
          </w:tcPr>
          <w:p>
            <w:pPr>
              <w:jc w:val="center"/>
              <w:widowControl/>
              <w:rPr>
                <w:rFonts w:ascii="Times New Roman" w:hAnsi="Times New Roman" w:cs="Times New Roman" w:eastAsia="楷体"/>
                <w:sz w:val="22"/>
                <w:szCs w:val="22"/>
              </w:rPr>
            </w:pPr>
            <w:r>
              <w:rPr>
                <w:rFonts w:ascii="Times New Roman" w:hAnsi="Times New Roman" w:cs="Times New Roman" w:eastAsia="楷体"/>
                <w:sz w:val="22"/>
                <w:szCs w:val="22"/>
                <w:lang w:bidi="ar"/>
              </w:rPr>
              <w:t xml:space="preserve">独立完成</w:t>
            </w:r>
            <w:r/>
          </w:p>
        </w:tc>
      </w:tr>
    </w:tbl>
    <w:p>
      <w:pPr>
        <w:jc w:val="center"/>
        <w:spacing w:lineRule="auto" w:line="360"/>
        <w:rPr>
          <w:rFonts w:ascii="Times New Roman" w:hAnsi="Times New Roman" w:cs="Times New Roman" w:eastAsia="楷体"/>
          <w:sz w:val="28"/>
          <w:szCs w:val="28"/>
        </w:rPr>
      </w:pPr>
      <w:r>
        <w:rPr>
          <w:rFonts w:ascii="Times New Roman" w:hAnsi="Times New Roman" w:cs="Times New Roman" w:eastAsia="楷体"/>
          <w:sz w:val="28"/>
          <w:szCs w:val="28"/>
        </w:rPr>
      </w:r>
      <w:r/>
    </w:p>
    <w:p>
      <w:pPr>
        <w:ind w:firstLine="560"/>
        <w:spacing w:lineRule="auto" w:line="360"/>
        <w:rPr>
          <w:rFonts w:ascii="黑体" w:hAnsi="黑体" w:cs="仿宋_GB2312" w:eastAsia="黑体"/>
          <w:sz w:val="28"/>
          <w:szCs w:val="28"/>
        </w:rPr>
      </w:pPr>
      <w:r>
        <w:rPr>
          <w:rFonts w:ascii="黑体" w:hAnsi="黑体" w:cs="仿宋_GB2312" w:eastAsia="黑体" w:hint="eastAsia"/>
          <w:sz w:val="28"/>
          <w:szCs w:val="28"/>
        </w:rPr>
        <w:t xml:space="preserve">四、信息化建设、开放运行和示范辐射</w:t>
      </w:r>
      <w:r/>
    </w:p>
    <w:p>
      <w:pPr>
        <w:ind w:firstLine="560"/>
        <w:spacing w:lineRule="auto" w:line="360"/>
        <w:rPr>
          <w:rFonts w:ascii="楷体" w:hAnsi="楷体" w:cs="仿宋_GB2312" w:eastAsia="楷体"/>
          <w:sz w:val="28"/>
          <w:szCs w:val="28"/>
        </w:rPr>
      </w:pPr>
      <w:r>
        <w:rPr>
          <w:rFonts w:ascii="楷体" w:hAnsi="楷体" w:cs="仿宋_GB2312" w:eastAsia="楷体" w:hint="eastAsia"/>
          <w:sz w:val="28"/>
          <w:szCs w:val="28"/>
        </w:rPr>
        <w:t xml:space="preserve">（一）信息化资源、平台建设，人员信息化能力提升等情况。</w:t>
      </w:r>
      <w:r/>
    </w:p>
    <w:p>
      <w:pPr>
        <w:ind w:firstLine="480"/>
        <w:spacing w:lineRule="auto" w:line="360"/>
        <w:rPr>
          <w:rFonts w:ascii="楷体_GB2312" w:hAnsi="楷体_GB2312" w:eastAsia="楷体_GB2312"/>
          <w:sz w:val="22"/>
          <w:szCs w:val="22"/>
        </w:rPr>
      </w:pPr>
      <w:r>
        <w:rPr>
          <w:rFonts w:ascii="楷体_GB2312" w:hAnsi="楷体_GB2312" w:eastAsia="楷体_GB2312"/>
          <w:sz w:val="22"/>
          <w:szCs w:val="22"/>
        </w:rPr>
        <w:t xml:space="preserve">本中心建立的中心网站（</w:t>
      </w:r>
      <w:hyperlink r:id="rId11" w:tooltip="http://yxsyzx.cqmu.edu.cn" w:history="1">
        <w:r>
          <w:rPr>
            <w:rFonts w:ascii="楷体_GB2312" w:hAnsi="楷体_GB2312" w:eastAsia="楷体_GB2312"/>
            <w:sz w:val="22"/>
            <w:szCs w:val="22"/>
          </w:rPr>
          <w:t xml:space="preserve">http://yxsyzx.cqmu.edu.cn</w:t>
        </w:r>
      </w:hyperlink>
      <w:r>
        <w:rPr>
          <w:rFonts w:ascii="楷体_GB2312" w:hAnsi="楷体_GB2312" w:eastAsia="楷体_GB2312"/>
          <w:sz w:val="22"/>
          <w:szCs w:val="22"/>
        </w:rPr>
        <w:t xml:space="preserve">），包括中心介绍、发展规划、典型课件及视频、实验室资源、科研项目、成果及</w:t>
      </w:r>
      <w:r>
        <w:rPr>
          <w:rFonts w:ascii="楷体_GB2312" w:hAnsi="楷体_GB2312" w:eastAsia="楷体_GB2312" w:hint="eastAsia"/>
          <w:sz w:val="22"/>
          <w:szCs w:val="22"/>
        </w:rPr>
        <w:t xml:space="preserve">年度总结</w:t>
      </w:r>
      <w:r>
        <w:rPr>
          <w:rFonts w:ascii="楷体_GB2312" w:hAnsi="楷体_GB2312" w:eastAsia="楷体_GB2312"/>
          <w:sz w:val="22"/>
          <w:szCs w:val="22"/>
        </w:rPr>
        <w:t xml:space="preserve">等</w:t>
      </w:r>
      <w:r>
        <w:rPr>
          <w:rFonts w:ascii="楷体_GB2312" w:hAnsi="楷体_GB2312" w:eastAsia="楷体_GB2312" w:hint="eastAsia"/>
          <w:sz w:val="22"/>
          <w:szCs w:val="22"/>
        </w:rPr>
        <w:t xml:space="preserve">目，</w:t>
      </w:r>
      <w:r>
        <w:rPr>
          <w:rFonts w:ascii="楷体_GB2312" w:hAnsi="楷体_GB2312" w:eastAsia="楷体_GB2312"/>
          <w:sz w:val="22"/>
          <w:szCs w:val="22"/>
        </w:rPr>
        <w:t xml:space="preserve">通过学校教务处教务管理系统，中心所有专兼职教师可查看实验课程安排，学生可在网上选课、留言、提问，教师可对学生提出的问题及时解答，同时对学生成绩实行网上统一登记、管理。中心所有报表、仪器设备请购单全部电子化。包括实验课表、实验室规划建设、实验员岗位职责及学校、学院层面的各种报表等，实现真正意义上的无纸办公。</w:t>
      </w:r>
      <w:r/>
    </w:p>
    <w:p>
      <w:pPr>
        <w:ind w:right="175" w:firstLine="480"/>
        <w:spacing w:lineRule="auto" w:line="360"/>
        <w:rPr>
          <w:rFonts w:ascii="楷体_GB2312" w:hAnsi="楷体_GB2312" w:eastAsia="楷体_GB2312"/>
          <w:sz w:val="22"/>
          <w:szCs w:val="22"/>
        </w:rPr>
      </w:pPr>
      <w:r>
        <w:rPr>
          <w:rFonts w:ascii="楷体_GB2312" w:hAnsi="楷体_GB2312" w:eastAsia="楷体_GB2312"/>
          <w:sz w:val="22"/>
          <w:szCs w:val="22"/>
        </w:rPr>
        <w:t xml:space="preserve">中心利用这些系统，开发网上药学化学实验室综合信息管理系统，包括药学化学实验教学管理、化学药品管理、大型仪器设备、教学大纲、电子教案、多媒体课件、教学实验方法录像、开放实验室实验预约等信息，供学生网上学习或下载，大大拓展了学生们学习的时间和空间，为师生提供多方面的服务。中心制作或购买实验教学课件，丰富了实验教学手段，规范了实验教学内容，便于学生更快、更好掌握实验原理及实验基本操作规范与方法等，收到良好的教学效果。</w:t>
      </w:r>
      <w:r/>
    </w:p>
    <w:p>
      <w:pPr>
        <w:ind w:right="175" w:firstLine="480"/>
        <w:spacing w:lineRule="auto" w:line="360"/>
        <w:rPr>
          <w:rFonts w:ascii="楷体_GB2312" w:hAnsi="楷体_GB2312" w:eastAsia="楷体_GB2312"/>
          <w:sz w:val="22"/>
          <w:szCs w:val="22"/>
        </w:rPr>
      </w:pPr>
      <w:r>
        <w:rPr>
          <w:rFonts w:ascii="楷体_GB2312" w:hAnsi="楷体_GB2312" w:eastAsia="楷体_GB2312"/>
          <w:sz w:val="22"/>
          <w:szCs w:val="22"/>
        </w:rPr>
        <w:t xml:space="preserve">中心不断推进信息技术与实验教学深度融合，信息技术在实验教学过程中得到了广泛应用。第一，加强信息化实验教学资源建设，</w:t>
      </w:r>
      <w:r>
        <w:rPr>
          <w:rFonts w:ascii="楷体_GB2312" w:hAnsi="楷体_GB2312" w:eastAsia="楷体_GB2312" w:hint="eastAsia"/>
          <w:sz w:val="22"/>
          <w:szCs w:val="22"/>
        </w:rPr>
        <w:t xml:space="preserve">现有</w:t>
      </w:r>
      <w:r>
        <w:rPr>
          <w:rFonts w:ascii="楷体_GB2312" w:hAnsi="楷体_GB2312" w:eastAsia="楷体_GB2312"/>
          <w:sz w:val="22"/>
          <w:szCs w:val="22"/>
        </w:rPr>
        <w:t xml:space="preserve">虚拟仿真实验教学项目12个。第二，建立现代化多媒体网络教学平台。学生可以利用平台进行实验课程的预习、视屏教学观摩等自主学习。第三，建立实验教学信息化，保证药学实验教学平台与信息管理平台的无缝链接，推动课程管理、师生交流、教学评价的</w:t>
      </w:r>
      <w:r>
        <w:rPr>
          <w:rFonts w:ascii="楷体_GB2312" w:hAnsi="楷体_GB2312" w:eastAsia="楷体_GB2312"/>
          <w:sz w:val="22"/>
          <w:szCs w:val="22"/>
        </w:rPr>
        <w:t xml:space="preserve">信息化，实现实验内容、空间、时间、人员、仪器设备等的高效利用和开放共享。</w:t>
      </w:r>
      <w:r/>
    </w:p>
    <w:p>
      <w:pPr>
        <w:ind w:firstLine="480"/>
        <w:spacing w:lineRule="auto" w:line="360"/>
        <w:rPr>
          <w:rFonts w:ascii="楷体_GB2312" w:hAnsi="楷体_GB2312" w:eastAsia="楷体_GB2312"/>
          <w:sz w:val="22"/>
          <w:szCs w:val="22"/>
        </w:rPr>
      </w:pPr>
      <w:r>
        <w:rPr>
          <w:rFonts w:ascii="楷体_GB2312" w:hAnsi="楷体_GB2312" w:eastAsia="楷体_GB2312" w:hint="eastAsia"/>
          <w:sz w:val="22"/>
          <w:szCs w:val="22"/>
        </w:rPr>
        <w:t xml:space="preserve">（二）开放运行、安全运行等情况。</w:t>
      </w:r>
      <w:r/>
    </w:p>
    <w:p>
      <w:pPr>
        <w:ind w:firstLine="480"/>
        <w:spacing w:lineRule="auto" w:line="360"/>
        <w:rPr>
          <w:rFonts w:ascii="Times New Roman" w:hAnsi="Times New Roman" w:cs="Times New Roman" w:eastAsia="楷体_GB2312"/>
          <w:color w:val="000000"/>
          <w:sz w:val="22"/>
          <w:szCs w:val="22"/>
        </w:rPr>
      </w:pPr>
      <w:r>
        <w:rPr>
          <w:rFonts w:ascii="楷体_GB2312" w:hAnsi="楷体_GB2312" w:eastAsia="楷体_GB2312"/>
          <w:sz w:val="22"/>
          <w:szCs w:val="22"/>
        </w:rPr>
        <w:t xml:space="preserve">为了充分利用实验室资源，鼓励和支持学生教学大纲计划外的专业学习实践活动，本学年药学实验教学中心通过课外参与科学研究和课题设计等，培养本科生研究创新的能力。在本学年，药学实验教学中心全</w:t>
      </w:r>
      <w:r>
        <w:rPr>
          <w:rFonts w:ascii="Times New Roman" w:hAnsi="Times New Roman" w:cs="Times New Roman" w:eastAsia="楷体_GB2312"/>
          <w:sz w:val="22"/>
          <w:szCs w:val="22"/>
        </w:rPr>
        <w:t xml:space="preserve">面开放实验室，包括精密</w:t>
      </w:r>
      <w:r>
        <w:rPr>
          <w:rFonts w:ascii="Times New Roman" w:hAnsi="Times New Roman" w:cs="Times New Roman" w:eastAsia="楷体_GB2312"/>
          <w:color w:val="000000" w:themeColor="text1"/>
          <w:sz w:val="22"/>
          <w:szCs w:val="22"/>
        </w:rPr>
        <w:t xml:space="preserve">仪器的开放，通过专业培训学生就可以使用，一部分实行场地开放，一部分通过课外参与科学研究和课题设计等，培养本科生研究创新的能力。本年度中心累计面向</w:t>
      </w:r>
      <w:r>
        <w:rPr>
          <w:rFonts w:ascii="Times New Roman" w:hAnsi="Times New Roman" w:cs="Times New Roman" w:eastAsia="楷体_GB2312"/>
          <w:color w:val="000000" w:themeColor="text1"/>
          <w:sz w:val="22"/>
          <w:szCs w:val="22"/>
        </w:rPr>
        <w:t xml:space="preserve">42</w:t>
      </w:r>
      <w:r>
        <w:rPr>
          <w:rFonts w:ascii="Times New Roman" w:hAnsi="Times New Roman" w:cs="Times New Roman" w:eastAsia="楷体_GB2312"/>
          <w:color w:val="000000" w:themeColor="text1"/>
          <w:sz w:val="22"/>
          <w:szCs w:val="22"/>
        </w:rPr>
        <w:t xml:space="preserve">名学生开放</w:t>
      </w:r>
      <w:r>
        <w:rPr>
          <w:rFonts w:ascii="Times New Roman" w:hAnsi="Times New Roman" w:cs="Times New Roman" w:eastAsia="楷体_GB2312"/>
          <w:color w:val="000000" w:themeColor="text1"/>
          <w:sz w:val="22"/>
          <w:szCs w:val="22"/>
        </w:rPr>
        <w:t xml:space="preserve">16</w:t>
      </w:r>
      <w:r>
        <w:rPr>
          <w:rFonts w:ascii="Times New Roman" w:hAnsi="Times New Roman" w:cs="Times New Roman" w:eastAsia="楷体_GB2312"/>
          <w:color w:val="000000" w:themeColor="text1"/>
          <w:sz w:val="22"/>
          <w:szCs w:val="22"/>
        </w:rPr>
        <w:t xml:space="preserve">次，累计开放</w:t>
      </w:r>
      <w:r>
        <w:rPr>
          <w:rFonts w:ascii="Times New Roman" w:hAnsi="Times New Roman" w:cs="Times New Roman" w:eastAsia="楷体_GB2312"/>
          <w:color w:val="000000" w:themeColor="text1"/>
          <w:sz w:val="22"/>
          <w:szCs w:val="22"/>
        </w:rPr>
        <w:t xml:space="preserve">2156</w:t>
      </w:r>
      <w:r>
        <w:rPr>
          <w:rFonts w:ascii="Times New Roman" w:hAnsi="Times New Roman" w:cs="Times New Roman" w:eastAsia="楷体_GB2312"/>
          <w:color w:val="000000" w:themeColor="text1"/>
          <w:sz w:val="22"/>
          <w:szCs w:val="22"/>
        </w:rPr>
        <w:t xml:space="preserve">小时。</w:t>
      </w:r>
      <w:r/>
    </w:p>
    <w:p>
      <w:pPr>
        <w:ind w:firstLine="480"/>
        <w:spacing w:lineRule="auto" w:line="360"/>
        <w:rPr>
          <w:rFonts w:ascii="楷体_GB2312" w:hAnsi="楷体_GB2312" w:eastAsia="楷体_GB2312"/>
          <w:color w:val="000000"/>
          <w:sz w:val="22"/>
          <w:szCs w:val="22"/>
        </w:rPr>
      </w:pPr>
      <w:r>
        <w:rPr>
          <w:rFonts w:ascii="Times New Roman" w:hAnsi="Times New Roman" w:cs="Times New Roman" w:eastAsia="楷体_GB2312"/>
          <w:color w:val="000000" w:themeColor="text1"/>
          <w:sz w:val="22"/>
          <w:szCs w:val="22"/>
        </w:rPr>
        <w:t xml:space="preserve">中心一贯重视安全教育，学生第一次进入实验室都必须经过安全教育，</w:t>
      </w:r>
      <w:r>
        <w:rPr>
          <w:rFonts w:ascii="Times New Roman" w:hAnsi="Times New Roman" w:cs="Times New Roman" w:eastAsia="楷体_GB2312"/>
          <w:color w:val="000000" w:themeColor="text1"/>
          <w:sz w:val="22"/>
          <w:szCs w:val="22"/>
        </w:rPr>
        <w:t xml:space="preserve">2022</w:t>
      </w:r>
      <w:r>
        <w:rPr>
          <w:rFonts w:ascii="Times New Roman" w:hAnsi="Times New Roman" w:cs="Times New Roman" w:eastAsia="楷体_GB2312"/>
          <w:color w:val="000000" w:themeColor="text1"/>
          <w:sz w:val="22"/>
          <w:szCs w:val="22"/>
        </w:rPr>
        <w:t xml:space="preserve">年共有约</w:t>
      </w:r>
      <w:r>
        <w:rPr>
          <w:rFonts w:ascii="Times New Roman" w:hAnsi="Times New Roman" w:cs="Times New Roman" w:eastAsia="楷体_GB2312"/>
          <w:color w:val="000000" w:themeColor="text1"/>
          <w:sz w:val="22"/>
          <w:szCs w:val="22"/>
        </w:rPr>
        <w:t xml:space="preserve">3500</w:t>
      </w:r>
      <w:r>
        <w:rPr>
          <w:rFonts w:ascii="Times New Roman" w:hAnsi="Times New Roman" w:cs="Times New Roman" w:eastAsia="楷体_GB2312"/>
          <w:color w:val="000000" w:themeColor="text1"/>
          <w:sz w:val="22"/>
          <w:szCs w:val="22"/>
        </w:rPr>
        <w:t xml:space="preserve">名本科</w:t>
      </w:r>
      <w:r>
        <w:rPr>
          <w:rFonts w:ascii="楷体_GB2312" w:hAnsi="楷体_GB2312" w:eastAsia="楷体_GB2312" w:hint="eastAsia"/>
          <w:color w:val="000000" w:themeColor="text1"/>
          <w:sz w:val="22"/>
          <w:szCs w:val="22"/>
        </w:rPr>
        <w:t xml:space="preserve">学生接受</w:t>
      </w:r>
      <w:r>
        <w:rPr>
          <w:rFonts w:ascii="楷体_GB2312" w:hAnsi="楷体_GB2312" w:eastAsia="楷体_GB2312"/>
          <w:color w:val="000000" w:themeColor="text1"/>
          <w:sz w:val="22"/>
          <w:szCs w:val="22"/>
        </w:rPr>
        <w:t xml:space="preserve">安全教育</w:t>
      </w:r>
      <w:r>
        <w:rPr>
          <w:rFonts w:ascii="楷体_GB2312" w:hAnsi="楷体_GB2312" w:eastAsia="楷体_GB2312" w:hint="eastAsia"/>
          <w:color w:val="000000" w:themeColor="text1"/>
          <w:sz w:val="22"/>
          <w:szCs w:val="22"/>
        </w:rPr>
        <w:t xml:space="preserve">培训，</w:t>
      </w:r>
      <w:r>
        <w:rPr>
          <w:rFonts w:ascii="楷体_GB2312" w:hAnsi="楷体_GB2312" w:eastAsia="楷体_GB2312"/>
          <w:color w:val="000000" w:themeColor="text1"/>
          <w:sz w:val="22"/>
          <w:szCs w:val="22"/>
        </w:rPr>
        <w:t xml:space="preserve">本年度实验教学正常，没有发生安全事故。</w:t>
      </w:r>
      <w:r/>
    </w:p>
    <w:p>
      <w:pPr>
        <w:ind w:firstLine="560"/>
        <w:spacing w:lineRule="auto" w:line="360"/>
        <w:rPr>
          <w:rFonts w:ascii="楷体" w:hAnsi="楷体" w:cs="仿宋_GB2312" w:eastAsia="楷体"/>
          <w:color w:val="000000"/>
          <w:sz w:val="28"/>
          <w:szCs w:val="28"/>
        </w:rPr>
      </w:pPr>
      <w:r>
        <w:rPr>
          <w:rFonts w:ascii="楷体" w:hAnsi="楷体" w:cs="仿宋_GB2312" w:eastAsia="楷体" w:hint="eastAsia"/>
          <w:color w:val="000000" w:themeColor="text1"/>
          <w:sz w:val="28"/>
          <w:szCs w:val="28"/>
        </w:rPr>
        <w:t xml:space="preserve">（三）对外交流合作、发挥示范引领、支持中西部高校实验教学改革等情况。</w:t>
      </w:r>
      <w:r/>
    </w:p>
    <w:p>
      <w:pPr>
        <w:ind w:firstLine="480"/>
        <w:spacing w:lineRule="auto" w:line="360"/>
        <w:rPr>
          <w:rFonts w:eastAsia="楷体_GB2312"/>
          <w:color w:val="000000"/>
          <w:sz w:val="22"/>
          <w:szCs w:val="22"/>
        </w:rPr>
      </w:pPr>
      <w:r>
        <w:rPr>
          <w:rFonts w:eastAsia="楷体_GB2312" w:hint="eastAsia"/>
          <w:color w:val="000000" w:themeColor="text1"/>
        </w:rPr>
        <w:t xml:space="preserve">在学校外事处的指导下，药学实验中心</w:t>
      </w:r>
      <w:r>
        <w:rPr>
          <w:rFonts w:eastAsia="楷体_GB2312" w:hint="eastAsia"/>
          <w:color w:val="000000" w:themeColor="text1"/>
        </w:rPr>
        <w:t xml:space="preserve">2022</w:t>
      </w:r>
      <w:r>
        <w:rPr>
          <w:rFonts w:eastAsia="楷体_GB2312" w:hint="eastAsia"/>
          <w:color w:val="000000" w:themeColor="text1"/>
        </w:rPr>
        <w:t xml:space="preserve">年度进一步加强外事工作管理，规范因公临时出国管理，规范外事活动请示、办理程序，积极拓展对外交往的渠道，开展国际交流与合作。</w:t>
      </w:r>
      <w:r>
        <w:rPr>
          <w:rFonts w:eastAsia="楷体_GB2312" w:hint="eastAsia"/>
          <w:color w:val="000000" w:themeColor="text1"/>
          <w:sz w:val="22"/>
          <w:szCs w:val="22"/>
        </w:rPr>
        <w:t xml:space="preserve">中心</w:t>
      </w:r>
      <w:r>
        <w:rPr>
          <w:rFonts w:eastAsia="楷体_GB2312"/>
          <w:color w:val="000000" w:themeColor="text1"/>
          <w:sz w:val="22"/>
          <w:szCs w:val="22"/>
        </w:rPr>
        <w:t xml:space="preserve">高度重视师资培养，通过选送教师到国外进修学习，不断拓展教师的国际视野；促进</w:t>
      </w:r>
      <w:r>
        <w:rPr>
          <w:rFonts w:eastAsia="楷体_GB2312" w:hint="eastAsia"/>
          <w:color w:val="000000" w:themeColor="text1"/>
          <w:sz w:val="22"/>
          <w:szCs w:val="22"/>
        </w:rPr>
        <w:t xml:space="preserve">中心</w:t>
      </w:r>
      <w:r>
        <w:rPr>
          <w:rFonts w:eastAsia="楷体_GB2312"/>
          <w:color w:val="000000" w:themeColor="text1"/>
          <w:sz w:val="22"/>
          <w:szCs w:val="22"/>
        </w:rPr>
        <w:t xml:space="preserve">中青年师资的迅速成长，持续培养青年师资的教学和科研能力，提升</w:t>
      </w:r>
      <w:r>
        <w:rPr>
          <w:rFonts w:eastAsia="楷体_GB2312" w:hint="eastAsia"/>
          <w:color w:val="000000" w:themeColor="text1"/>
          <w:sz w:val="22"/>
          <w:szCs w:val="22"/>
        </w:rPr>
        <w:t xml:space="preserve">中心</w:t>
      </w:r>
      <w:r>
        <w:rPr>
          <w:rFonts w:eastAsia="楷体_GB2312"/>
          <w:color w:val="000000" w:themeColor="text1"/>
          <w:sz w:val="22"/>
          <w:szCs w:val="22"/>
        </w:rPr>
        <w:t xml:space="preserve">师资的整体教</w:t>
      </w:r>
      <w:r>
        <w:rPr>
          <w:rFonts w:ascii="Times New Roman" w:hAnsi="Times New Roman" w:cs="Times New Roman" w:eastAsia="楷体_GB2312"/>
          <w:color w:val="000000" w:themeColor="text1"/>
          <w:sz w:val="22"/>
          <w:szCs w:val="22"/>
        </w:rPr>
        <w:t xml:space="preserve">学水平。</w:t>
      </w:r>
      <w:r>
        <w:rPr>
          <w:rFonts w:ascii="Times New Roman" w:hAnsi="Times New Roman" w:cs="Times New Roman" w:eastAsia="楷体_GB2312"/>
          <w:color w:val="000000" w:themeColor="text1"/>
          <w:sz w:val="22"/>
          <w:szCs w:val="22"/>
        </w:rPr>
        <w:t xml:space="preserve">2022</w:t>
      </w:r>
      <w:r>
        <w:rPr>
          <w:rFonts w:ascii="Times New Roman" w:hAnsi="Times New Roman" w:cs="Times New Roman" w:eastAsia="楷体_GB2312"/>
          <w:color w:val="000000" w:themeColor="text1"/>
          <w:sz w:val="22"/>
          <w:szCs w:val="22"/>
        </w:rPr>
        <w:t xml:space="preserve">年中心有</w:t>
      </w:r>
      <w:r>
        <w:rPr>
          <w:rFonts w:ascii="Times New Roman" w:hAnsi="Times New Roman" w:cs="Times New Roman" w:eastAsia="楷体_GB2312"/>
          <w:color w:val="000000" w:themeColor="text1"/>
          <w:sz w:val="22"/>
          <w:szCs w:val="22"/>
        </w:rPr>
        <w:t xml:space="preserve">2</w:t>
      </w:r>
      <w:r>
        <w:rPr>
          <w:rFonts w:ascii="Times New Roman" w:hAnsi="Times New Roman" w:cs="Times New Roman" w:eastAsia="楷体_GB2312"/>
          <w:color w:val="000000" w:themeColor="text1"/>
          <w:sz w:val="22"/>
          <w:szCs w:val="22"/>
        </w:rPr>
        <w:t xml:space="preserve">名教师获得批</w:t>
      </w:r>
      <w:r>
        <w:rPr>
          <w:rFonts w:eastAsia="楷体_GB2312" w:hint="eastAsia"/>
          <w:color w:val="000000" w:themeColor="text1"/>
          <w:sz w:val="22"/>
          <w:szCs w:val="22"/>
        </w:rPr>
        <w:t xml:space="preserve">准</w:t>
      </w:r>
      <w:r>
        <w:rPr>
          <w:rFonts w:eastAsia="楷体_GB2312"/>
          <w:color w:val="000000" w:themeColor="text1"/>
          <w:sz w:val="22"/>
          <w:szCs w:val="22"/>
        </w:rPr>
        <w:t xml:space="preserve">学校公派项目出国访问</w:t>
      </w:r>
      <w:r>
        <w:rPr>
          <w:rFonts w:eastAsia="楷体_GB2312" w:hint="eastAsia"/>
          <w:color w:val="000000" w:themeColor="text1"/>
          <w:sz w:val="22"/>
          <w:szCs w:val="22"/>
        </w:rPr>
        <w:t xml:space="preserve">。</w:t>
      </w:r>
      <w:r/>
    </w:p>
    <w:p>
      <w:pPr>
        <w:ind w:firstLine="480"/>
        <w:spacing w:lineRule="auto" w:line="360"/>
        <w:rPr>
          <w:rFonts w:ascii="黑体" w:hAnsi="黑体" w:cs="仿宋_GB2312" w:eastAsia="黑体"/>
          <w:color w:val="000000"/>
          <w:sz w:val="28"/>
          <w:szCs w:val="28"/>
        </w:rPr>
      </w:pPr>
      <w:r>
        <w:rPr>
          <w:rFonts w:ascii="楷体_GB2312" w:hAnsi="楷体_GB2312" w:eastAsia="楷体_GB2312" w:hint="eastAsia"/>
          <w:color w:val="000000" w:themeColor="text1"/>
          <w:sz w:val="22"/>
          <w:szCs w:val="22"/>
        </w:rPr>
        <w:t xml:space="preserve">中心</w:t>
      </w:r>
      <w:r>
        <w:rPr>
          <w:rFonts w:ascii="楷体_GB2312" w:hAnsi="楷体_GB2312" w:cs="Times New Roman" w:eastAsia="楷体_GB2312" w:hint="eastAsia"/>
          <w:color w:val="000000" w:themeColor="text1"/>
          <w:sz w:val="22"/>
          <w:szCs w:val="22"/>
        </w:rPr>
        <w:t xml:space="preserve">坚持走出去战略，加强与政府、高校、院所和企业的合作，先后到外</w:t>
      </w:r>
      <w:r>
        <w:rPr>
          <w:rFonts w:ascii="楷体_GB2312" w:hAnsi="楷体_GB2312" w:cs="Times New Roman" w:eastAsia="楷体_GB2312"/>
          <w:color w:val="000000" w:themeColor="text1"/>
          <w:sz w:val="22"/>
          <w:szCs w:val="22"/>
        </w:rPr>
        <w:t xml:space="preserve">进行访问调研</w:t>
      </w:r>
      <w:r>
        <w:rPr>
          <w:rFonts w:hint="eastAsia"/>
          <w:color w:val="000000" w:themeColor="text1"/>
        </w:rPr>
        <w:t xml:space="preserve">，</w:t>
      </w:r>
      <w:r>
        <w:rPr>
          <w:rFonts w:ascii="楷体_GB2312" w:hAnsi="楷体_GB2312" w:cs="Times New Roman" w:eastAsia="楷体_GB2312" w:hint="eastAsia"/>
          <w:color w:val="000000" w:themeColor="text1"/>
          <w:sz w:val="22"/>
          <w:szCs w:val="22"/>
        </w:rPr>
        <w:t xml:space="preserve">同时接待重庆市药监局、重庆市中药研究院等来院交流访问；特别是重庆中医药学院院校设置评议专家组多次来中心现场参观和考察，为重庆中医药学院的实验室的建设提供了样板，</w:t>
      </w:r>
      <w:r>
        <w:rPr>
          <w:rFonts w:ascii="楷体_GB2312" w:hAnsi="楷体_GB2312" w:eastAsia="楷体_GB2312" w:hint="eastAsia"/>
          <w:color w:val="000000" w:themeColor="text1"/>
          <w:sz w:val="22"/>
          <w:szCs w:val="22"/>
        </w:rPr>
        <w:t xml:space="preserve">示范效应明显。</w:t>
      </w:r>
      <w:r/>
    </w:p>
    <w:p>
      <w:pPr>
        <w:spacing w:lineRule="auto" w:line="360"/>
        <w:rPr>
          <w:rFonts w:ascii="黑体" w:hAnsi="黑体" w:cs="仿宋_GB2312" w:eastAsia="黑体"/>
          <w:color w:val="000000"/>
          <w:sz w:val="28"/>
          <w:szCs w:val="28"/>
        </w:rPr>
      </w:pPr>
      <w:r>
        <w:rPr>
          <w:rFonts w:ascii="黑体" w:hAnsi="黑体" w:cs="仿宋_GB2312" w:eastAsia="黑体" w:hint="eastAsia"/>
          <w:color w:val="000000" w:themeColor="text1"/>
          <w:sz w:val="28"/>
          <w:szCs w:val="28"/>
        </w:rPr>
        <w:t xml:space="preserve">五、示范中心大事记</w:t>
      </w:r>
      <w:r/>
    </w:p>
    <w:p>
      <w:pPr>
        <w:jc w:val="left"/>
        <w:spacing w:lineRule="auto" w:line="360"/>
        <w:rPr>
          <w:rFonts w:ascii="楷体_GB2312" w:hAnsi="楷体_GB2312" w:cs="Times New Roman" w:eastAsia="楷体_GB2312"/>
          <w:sz w:val="22"/>
          <w:szCs w:val="22"/>
        </w:rPr>
      </w:pPr>
      <w:r>
        <w:rPr>
          <w:rFonts w:ascii="Times New Roman" w:hAnsi="Times New Roman" w:cs="Times New Roman" w:eastAsia="楷体_GB2312"/>
          <w:sz w:val="22"/>
          <w:szCs w:val="22"/>
        </w:rPr>
        <w:t xml:space="preserve">1</w:t>
      </w:r>
      <w:r>
        <w:rPr>
          <w:rFonts w:ascii="Times New Roman" w:hAnsi="Times New Roman" w:cs="Times New Roman" w:eastAsia="楷体_GB2312"/>
          <w:sz w:val="22"/>
          <w:szCs w:val="22"/>
        </w:rPr>
        <w:t xml:space="preserve">：</w:t>
      </w:r>
      <w:r>
        <w:rPr>
          <w:rFonts w:ascii="楷体_GB2312" w:hAnsi="楷体_GB2312" w:cs="Times New Roman" w:eastAsia="楷体_GB2312" w:hint="eastAsia"/>
          <w:sz w:val="22"/>
          <w:szCs w:val="22"/>
        </w:rPr>
        <w:t xml:space="preserve">2022年</w:t>
      </w:r>
      <w:r>
        <w:rPr>
          <w:rFonts w:ascii="楷体_GB2312" w:hAnsi="楷体_GB2312" w:cs="Times New Roman" w:eastAsia="楷体_GB2312"/>
          <w:sz w:val="22"/>
          <w:szCs w:val="22"/>
        </w:rPr>
        <w:t xml:space="preserve">1月</w:t>
      </w:r>
      <w:r>
        <w:rPr>
          <w:rFonts w:ascii="楷体_GB2312" w:hAnsi="楷体_GB2312" w:cs="Times New Roman" w:eastAsia="楷体_GB2312" w:hint="eastAsia"/>
          <w:sz w:val="22"/>
          <w:szCs w:val="22"/>
        </w:rPr>
        <w:t xml:space="preserve">26</w:t>
      </w:r>
      <w:r>
        <w:rPr>
          <w:rFonts w:ascii="楷体_GB2312" w:hAnsi="楷体_GB2312" w:cs="Times New Roman" w:eastAsia="楷体_GB2312"/>
          <w:sz w:val="22"/>
          <w:szCs w:val="22"/>
        </w:rPr>
        <w:t xml:space="preserve">日，</w:t>
      </w:r>
      <w:r>
        <w:rPr>
          <w:rFonts w:ascii="楷体_GB2312" w:hAnsi="楷体_GB2312" w:cs="Times New Roman" w:eastAsia="楷体_GB2312" w:hint="eastAsia"/>
          <w:sz w:val="22"/>
          <w:szCs w:val="22"/>
        </w:rPr>
        <w:t xml:space="preserve">在新春即将到来之际，药学院党委书记冯涛、院长于超、党委副书记蒋君好一行走访学生宿舍，看望慰问春节期间留校的研究生和本科生同学，代表学院向同学们送去温暖关怀和新春祝福。</w:t>
      </w:r>
      <w:r/>
    </w:p>
    <w:p>
      <w:pPr>
        <w:pStyle w:val="404"/>
        <w:spacing w:lineRule="atLeast" w:line="504" w:after="0" w:afterAutospacing="0" w:before="0" w:beforeAutospacing="0"/>
        <w:rPr>
          <w:rFonts w:ascii="微软雅黑" w:hAnsi="微软雅黑" w:cs="微软雅黑" w:eastAsia="微软雅黑"/>
          <w:sz w:val="28"/>
          <w:szCs w:val="28"/>
        </w:rPr>
      </w:pPr>
      <w:r>
        <w:rPr>
          <w:rFonts w:ascii="楷体_GB2312" w:hAnsi="楷体_GB2312" w:cs="Times New Roman" w:eastAsia="楷体_GB2312" w:hint="eastAsia"/>
          <w:sz w:val="22"/>
          <w:szCs w:val="22"/>
        </w:rPr>
        <w:t xml:space="preserve">2：2022年4月13日，为培育研究生拔尖人才，鼓励研究生攀登科学高峰，根据研究生院《关于研究生拔尖人才培育计划项目申报、中期考核、总结验收的通知》要求，药学院于4月12日下午举办了“2022年研究生拔尖人才培育计划项目申报、中期考核暨总结验收答辩会”，会议由中医药学院曹纬国教授担任专家组组长，生命科学研究院袁海心教授、药学院蒋心惠教授担任专家组成员。</w:t>
      </w: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2501900" cy="1876425"/>
                <wp:effectExtent l="0" t="0" r="12700" b="9525"/>
                <wp:docPr id="2" name="图片 1"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5" name="图片 1" descr="IMG_256" hidden="0"/>
                        <pic:cNvPicPr>
                          <a:picLocks noChangeAspect="1"/>
                        </pic:cNvPicPr>
                      </pic:nvPicPr>
                      <pic:blipFill>
                        <a:blip r:embed="rId12"/>
                        <a:stretch/>
                      </pic:blipFill>
                      <pic:spPr bwMode="auto">
                        <a:xfrm>
                          <a:off x="0" y="0"/>
                          <a:ext cx="2501900" cy="187642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197.0pt;height:147.8pt;" strokeweight="0.75pt">
                <v:path textboxrect="0,0,0,0"/>
                <v:imagedata r:id="rId12" o:title=""/>
              </v:shape>
            </w:pict>
          </mc:Fallback>
        </mc:AlternateContent>
      </w: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2519045" cy="1889760"/>
                <wp:effectExtent l="0" t="0" r="14604" b="15240"/>
                <wp:docPr id="3" name="图片 2" descr="IMG_25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6" name="图片 2" descr="IMG_257" hidden="0"/>
                        <pic:cNvPicPr>
                          <a:picLocks noChangeAspect="1"/>
                        </pic:cNvPicPr>
                      </pic:nvPicPr>
                      <pic:blipFill>
                        <a:blip r:embed="rId13"/>
                        <a:stretch/>
                      </pic:blipFill>
                      <pic:spPr bwMode="auto">
                        <a:xfrm>
                          <a:off x="0" y="0"/>
                          <a:ext cx="2519045" cy="188976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98.3pt;height:148.8pt;" strokeweight="0.75pt">
                <v:path textboxrect="0,0,0,0"/>
                <v:imagedata r:id="rId13" o:title=""/>
              </v:shape>
            </w:pict>
          </mc:Fallback>
        </mc:AlternateContent>
      </w:r>
      <w:r/>
    </w:p>
    <w:p>
      <w:pPr>
        <w:jc w:val="left"/>
        <w:spacing w:lineRule="auto" w:line="360"/>
        <w:rPr>
          <w:rFonts w:ascii="楷体_GB2312" w:hAnsi="楷体_GB2312" w:cs="Times New Roman" w:eastAsia="楷体_GB2312"/>
          <w:sz w:val="22"/>
          <w:szCs w:val="22"/>
        </w:rPr>
      </w:pPr>
      <w:r>
        <w:rPr>
          <w:rFonts w:ascii="楷体_GB2312" w:hAnsi="楷体_GB2312" w:cs="Times New Roman" w:eastAsia="楷体_GB2312"/>
          <w:sz w:val="22"/>
          <w:szCs w:val="22"/>
        </w:rPr>
      </w:r>
      <w:r/>
    </w:p>
    <w:p>
      <w:pPr>
        <w:jc w:val="left"/>
        <w:spacing w:lineRule="auto" w:line="360"/>
        <w:rPr>
          <w:rFonts w:ascii="楷体_GB2312" w:hAnsi="楷体_GB2312" w:cs="Times New Roman" w:eastAsia="楷体_GB2312"/>
          <w:sz w:val="22"/>
          <w:szCs w:val="22"/>
        </w:rPr>
      </w:pPr>
      <w:r>
        <w:rPr>
          <w:rFonts w:ascii="楷体_GB2312" w:hAnsi="楷体_GB2312" w:cs="Times New Roman" w:eastAsia="楷体_GB2312" w:hint="eastAsia"/>
          <w:sz w:val="22"/>
          <w:szCs w:val="22"/>
        </w:rPr>
        <w:t xml:space="preserve">4：2022年5月7-8日，药学院在融创国际会议中心组织召开了药学专业自评报告论证会。药学院党政领导班子成员，专业负责人、院办、教务科、学生科等部门负责人和工作人员，教指委和督导组专家，学系主任、骨干教师等参加会议，会议由邱红梅主持。</w:t>
      </w:r>
      <w:r/>
    </w:p>
    <w:p>
      <w:pPr>
        <w:pStyle w:val="395"/>
      </w:pPr>
      <w:r>
        <w:rPr>
          <w:rFonts w:ascii="宋体" w:hAnsi="宋体" w:cs="宋体" w:eastAsia="宋体"/>
          <w:sz w:val="24"/>
          <w:szCs w:val="24"/>
        </w:rPr>
        <mc:AlternateContent>
          <mc:Choice Requires="wpg">
            <w:drawing>
              <wp:inline xmlns:wp="http://schemas.openxmlformats.org/drawingml/2006/wordprocessingDrawing" distT="0" distB="0" distL="0" distR="0">
                <wp:extent cx="2553335" cy="1915160"/>
                <wp:effectExtent l="0" t="0" r="18415" b="8890"/>
                <wp:docPr id="4" name="图片 4"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7" name="图片 4" descr="IMG_256" hidden="0"/>
                        <pic:cNvPicPr>
                          <a:picLocks noChangeAspect="1"/>
                        </pic:cNvPicPr>
                      </pic:nvPicPr>
                      <pic:blipFill>
                        <a:blip r:embed="rId14"/>
                        <a:stretch/>
                      </pic:blipFill>
                      <pic:spPr bwMode="auto">
                        <a:xfrm>
                          <a:off x="0" y="0"/>
                          <a:ext cx="2553335" cy="191516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201.0pt;height:150.8pt;" strokeweight="0.75pt">
                <v:path textboxrect="0,0,0,0"/>
                <v:imagedata r:id="rId14" o:title=""/>
              </v:shape>
            </w:pict>
          </mc:Fallback>
        </mc:AlternateContent>
      </w:r>
      <w:r>
        <w:rPr>
          <w:rFonts w:ascii="宋体" w:hAnsi="宋体" w:cs="宋体" w:eastAsia="宋体"/>
          <w:sz w:val="24"/>
          <w:szCs w:val="24"/>
        </w:rPr>
        <mc:AlternateContent>
          <mc:Choice Requires="wpg">
            <w:drawing>
              <wp:inline xmlns:wp="http://schemas.openxmlformats.org/drawingml/2006/wordprocessingDrawing" distT="0" distB="0" distL="0" distR="0">
                <wp:extent cx="2540635" cy="1906270"/>
                <wp:effectExtent l="0" t="0" r="12065" b="17780"/>
                <wp:docPr id="5" name="图片 3"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8" name="图片 3" descr="IMG_256" hidden="0"/>
                        <pic:cNvPicPr>
                          <a:picLocks noChangeAspect="1"/>
                        </pic:cNvPicPr>
                      </pic:nvPicPr>
                      <pic:blipFill>
                        <a:blip r:embed="rId15"/>
                        <a:stretch/>
                      </pic:blipFill>
                      <pic:spPr bwMode="auto">
                        <a:xfrm>
                          <a:off x="0" y="0"/>
                          <a:ext cx="2540635" cy="190627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4" o:spid="_x0000_s4" type="#_x0000_t75" style="mso-wrap-distance-left:0.0pt;mso-wrap-distance-top:0.0pt;mso-wrap-distance-right:0.0pt;mso-wrap-distance-bottom:0.0pt;width:200.0pt;height:150.1pt;" strokeweight="0.75pt">
                <v:path textboxrect="0,0,0,0"/>
                <v:imagedata r:id="rId15" o:title=""/>
              </v:shape>
            </w:pict>
          </mc:Fallback>
        </mc:AlternateContent>
      </w:r>
      <w:r/>
    </w:p>
    <w:p>
      <w:pPr>
        <w:pStyle w:val="395"/>
        <w:spacing w:lineRule="auto" w:line="360"/>
        <w:rPr>
          <w:rFonts w:ascii="楷体_GB2312" w:hAnsi="楷体_GB2312" w:eastAsia="楷体_GB2312"/>
          <w:b w:val="false"/>
          <w:bCs w:val="false"/>
          <w:sz w:val="24"/>
          <w:szCs w:val="22"/>
        </w:rPr>
      </w:pPr>
      <w:r>
        <w:rPr>
          <w:rFonts w:ascii="楷体_GB2312" w:hAnsi="楷体_GB2312" w:eastAsia="楷体_GB2312" w:hint="eastAsia"/>
          <w:b w:val="false"/>
          <w:bCs w:val="false"/>
          <w:sz w:val="24"/>
          <w:szCs w:val="22"/>
        </w:rPr>
        <w:t xml:space="preserve">5：2022年6月23日，药学院于袁家岗校区国际会议厅举办了2022届毕业典礼暨“药友三有青年奖学金”颁奖仪式。重庆药友制药有限公司党委书记、高级副总裁李洪溢、副总裁尧云峰、人力资源部经理邓自鑫、研究生院党总支书记李情、内蒙古医科大学药学院党委副书记陈建平、药学院党委书记冯涛、院长于超、副院长严</w:t>
      </w:r>
      <w:r>
        <w:rPr>
          <w:rFonts w:ascii="楷体_GB2312" w:hAnsi="楷体_GB2312" w:eastAsia="楷体_GB2312" w:hint="eastAsia"/>
          <w:b w:val="false"/>
          <w:bCs w:val="false"/>
          <w:sz w:val="24"/>
          <w:szCs w:val="22"/>
        </w:rPr>
        <w:t xml:space="preserve">波、副书记蒋君好、副院长邱红梅、学院教师代表母昭德、蒋心惠、孙文娟出席典礼。</w:t>
      </w:r>
      <w:r/>
    </w:p>
    <w:p>
      <w:pPr>
        <w:pStyle w:val="395"/>
        <w:rPr>
          <w:rFonts w:ascii="宋体" w:hAnsi="宋体" w:cs="宋体" w:eastAsia="宋体"/>
          <w:sz w:val="24"/>
          <w:szCs w:val="24"/>
        </w:rPr>
      </w:pPr>
      <w:r>
        <w:rPr>
          <w:rFonts w:ascii="宋体" w:hAnsi="宋体" w:cs="宋体" w:eastAsia="宋体"/>
          <w:sz w:val="24"/>
          <w:szCs w:val="24"/>
        </w:rPr>
        <mc:AlternateContent>
          <mc:Choice Requires="wpg">
            <w:drawing>
              <wp:inline xmlns:wp="http://schemas.openxmlformats.org/drawingml/2006/wordprocessingDrawing" distT="0" distB="0" distL="0" distR="0">
                <wp:extent cx="2499995" cy="1666875"/>
                <wp:effectExtent l="0" t="0" r="14604" b="9525"/>
                <wp:docPr id="6" name="图片 5"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9" name="图片 5" descr="IMG_256" hidden="0"/>
                        <pic:cNvPicPr>
                          <a:picLocks noChangeAspect="1"/>
                        </pic:cNvPicPr>
                      </pic:nvPicPr>
                      <pic:blipFill>
                        <a:blip r:embed="rId16"/>
                        <a:stretch/>
                      </pic:blipFill>
                      <pic:spPr bwMode="auto">
                        <a:xfrm>
                          <a:off x="0" y="0"/>
                          <a:ext cx="2499995" cy="166687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mso-wrap-distance-left:0.0pt;mso-wrap-distance-top:0.0pt;mso-wrap-distance-right:0.0pt;mso-wrap-distance-bottom:0.0pt;width:196.8pt;height:131.2pt;" strokeweight="0.75pt">
                <v:path textboxrect="0,0,0,0"/>
                <v:imagedata r:id="rId16" o:title=""/>
              </v:shape>
            </w:pict>
          </mc:Fallback>
        </mc:AlternateContent>
      </w:r>
      <w:r>
        <w:rPr>
          <w:rFonts w:ascii="宋体" w:hAnsi="宋体" w:cs="宋体" w:eastAsia="宋体"/>
          <w:sz w:val="24"/>
          <w:szCs w:val="24"/>
        </w:rPr>
        <mc:AlternateContent>
          <mc:Choice Requires="wpg">
            <w:drawing>
              <wp:inline xmlns:wp="http://schemas.openxmlformats.org/drawingml/2006/wordprocessingDrawing" distT="0" distB="0" distL="0" distR="0">
                <wp:extent cx="2499995" cy="1666875"/>
                <wp:effectExtent l="0" t="0" r="14604" b="9525"/>
                <wp:docPr id="7" name="图片 6"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0" name="图片 6" descr="IMG_256" hidden="0"/>
                        <pic:cNvPicPr>
                          <a:picLocks noChangeAspect="1"/>
                        </pic:cNvPicPr>
                      </pic:nvPicPr>
                      <pic:blipFill>
                        <a:blip r:embed="rId17"/>
                        <a:stretch/>
                      </pic:blipFill>
                      <pic:spPr bwMode="auto">
                        <a:xfrm>
                          <a:off x="0" y="0"/>
                          <a:ext cx="2499995" cy="166687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mso-wrap-distance-left:0.0pt;mso-wrap-distance-top:0.0pt;mso-wrap-distance-right:0.0pt;mso-wrap-distance-bottom:0.0pt;width:196.8pt;height:131.2pt;" strokeweight="0.75pt">
                <v:path textboxrect="0,0,0,0"/>
                <v:imagedata r:id="rId17" o:title=""/>
              </v:shape>
            </w:pict>
          </mc:Fallback>
        </mc:AlternateContent>
      </w:r>
      <w:r/>
    </w:p>
    <w:p>
      <w:pPr>
        <w:spacing w:lineRule="auto" w:line="360"/>
        <w:rPr>
          <w:rFonts w:ascii="宋体" w:hAnsi="宋体" w:cs="宋体" w:eastAsia="宋体"/>
        </w:rPr>
      </w:pPr>
      <w:r>
        <w:rPr>
          <w:rFonts w:ascii="楷体_GB2312" w:hAnsi="楷体_GB2312" w:cs="Times New Roman" w:eastAsia="楷体_GB2312" w:hint="eastAsia"/>
          <w:sz w:val="22"/>
          <w:szCs w:val="22"/>
        </w:rPr>
        <w:t xml:space="preserve">6：2022 年 4 至 6 月，团市委、市教委、市人力社保局、市科协和市学联共同举办“‘智’汇青春”第十三届“挑战杯”中国大学生创业计划竞赛重庆赛区选拔赛，全市相关学校积极参与，共收到80所学校18424 件作品，在激烈的竞争中，我院获得了一银两铜的优秀成绩。</w:t>
      </w:r>
      <w:r/>
    </w:p>
    <w:p>
      <w:pPr>
        <w:pStyle w:val="404"/>
        <w:spacing w:lineRule="atLeast" w:line="504" w:after="0" w:afterAutospacing="0" w:before="0" w:beforeAutospacing="0"/>
        <w:rPr>
          <w:rFonts w:ascii="微软雅黑" w:hAnsi="微软雅黑" w:cs="微软雅黑" w:eastAsia="微软雅黑"/>
          <w:sz w:val="28"/>
          <w:szCs w:val="28"/>
        </w:rPr>
      </w:pPr>
      <w:r>
        <w:rPr>
          <w:rFonts w:ascii="楷体_GB2312" w:hAnsi="楷体_GB2312" w:cs="Times New Roman" w:eastAsia="楷体_GB2312" w:hint="eastAsia"/>
          <w:sz w:val="22"/>
          <w:szCs w:val="22"/>
        </w:rPr>
        <w:t xml:space="preserve">7：2022年9月4日，</w:t>
      </w:r>
      <w:r>
        <w:rPr>
          <w:rFonts w:ascii="楷体_GB2312" w:hAnsi="楷体_GB2312" w:cs="Times New Roman" w:eastAsia="楷体_GB2312" w:hint="eastAsia"/>
          <w:sz w:val="22"/>
          <w:szCs w:val="22"/>
        </w:rPr>
        <w:t xml:space="preserve">由中国生物医学工程学会主办、浙江大学承办的第七届全国大学生生物医学工程创新设计大赛经过线上决赛答辩环节，在浙江杭州圆满落幕。本次大赛中，药学院白燕副教授指导，药学院研究生董宇涵、成锡婷完成的作品“腱-骨界面高仿生复合支架的构建及其生物效应研究”荣获全国一等奖。</w:t>
      </w:r>
      <w:r/>
    </w:p>
    <w:p>
      <w:pPr>
        <w:pStyle w:val="404"/>
        <w:jc w:val="center"/>
        <w:spacing w:lineRule="atLeast" w:line="504" w:after="0" w:afterAutospacing="0" w:before="0" w:beforeAutospacing="0"/>
        <w:rPr>
          <w:rFonts w:ascii="微软雅黑" w:hAnsi="微软雅黑" w:cs="微软雅黑" w:eastAsia="微软雅黑"/>
          <w:sz w:val="28"/>
          <w:szCs w:val="28"/>
        </w:rPr>
      </w:pP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4762500" cy="2114550"/>
                <wp:effectExtent l="0" t="0" r="0" b="0"/>
                <wp:docPr id="8" name="图片 7"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1" name="图片 7" descr="IMG_256" hidden="0"/>
                        <pic:cNvPicPr>
                          <a:picLocks noChangeAspect="1"/>
                        </pic:cNvPicPr>
                      </pic:nvPicPr>
                      <pic:blipFill>
                        <a:blip r:embed="rId18"/>
                        <a:stretch/>
                      </pic:blipFill>
                      <pic:spPr bwMode="auto">
                        <a:xfrm>
                          <a:off x="0" y="0"/>
                          <a:ext cx="4762500" cy="211455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7" o:spid="_x0000_s7" type="#_x0000_t75" style="mso-wrap-distance-left:0.0pt;mso-wrap-distance-top:0.0pt;mso-wrap-distance-right:0.0pt;mso-wrap-distance-bottom:0.0pt;width:375.0pt;height:166.5pt;" strokeweight="0.75pt">
                <v:path textboxrect="0,0,0,0"/>
                <v:imagedata r:id="rId18" o:title=""/>
              </v:shape>
            </w:pict>
          </mc:Fallback>
        </mc:AlternateContent>
      </w:r>
      <w:r/>
    </w:p>
    <w:p>
      <w:pPr>
        <w:pStyle w:val="404"/>
        <w:jc w:val="both"/>
        <w:spacing w:lineRule="atLeast" w:line="560" w:after="0" w:afterAutospacing="0" w:before="0" w:beforeAutospacing="0"/>
        <w:shd w:val="clear" w:color="auto" w:fill="FFFFFF"/>
        <w:rPr>
          <w:rFonts w:ascii="楷体_GB2312" w:hAnsi="楷体_GB2312" w:cs="Times New Roman" w:eastAsia="楷体_GB2312"/>
          <w:sz w:val="22"/>
          <w:szCs w:val="22"/>
        </w:rPr>
      </w:pPr>
      <w:r>
        <w:rPr>
          <w:rFonts w:ascii="楷体_GB2312" w:hAnsi="楷体_GB2312" w:cs="Times New Roman" w:eastAsia="楷体_GB2312" w:hint="eastAsia"/>
          <w:sz w:val="22"/>
          <w:szCs w:val="22"/>
        </w:rPr>
        <w:t xml:space="preserve">8：2022年9月30日，实验教学管理中心药品周转库房克服暑假高温和疫情的不利影响进行了</w:t>
      </w:r>
      <w:r>
        <w:rPr>
          <w:rFonts w:ascii="楷体_GB2312" w:hAnsi="楷体_GB2312" w:cs="Times New Roman" w:eastAsia="楷体_GB2312" w:hint="eastAsia"/>
          <w:sz w:val="22"/>
          <w:szCs w:val="22"/>
        </w:rPr>
        <w:t xml:space="preserve">智能化改造，正式投入使用。改造后的药品周转库房安装了危化品全流</w:t>
      </w:r>
      <w:r>
        <w:rPr>
          <w:rFonts w:ascii="楷体_GB2312" w:hAnsi="楷体_GB2312" w:cs="Times New Roman" w:eastAsia="楷体_GB2312" w:hint="eastAsia"/>
          <w:sz w:val="22"/>
          <w:szCs w:val="22"/>
        </w:rPr>
        <w:t xml:space="preserve">程安全管理系统、挥发物浓度监测及排放系统、智能安防系统，实现了试剂试药存取管理规范化，智能化。</w:t>
      </w:r>
      <w:r/>
    </w:p>
    <w:p>
      <w:pPr>
        <w:pStyle w:val="404"/>
        <w:jc w:val="center"/>
        <w:spacing w:lineRule="atLeast" w:line="560" w:after="0" w:afterAutospacing="0" w:before="0" w:beforeAutospacing="0"/>
        <w:shd w:val="clear" w:color="auto" w:fill="FFFFFF"/>
        <w:rPr>
          <w:rFonts w:ascii="微软雅黑" w:hAnsi="微软雅黑" w:cs="微软雅黑" w:eastAsia="微软雅黑"/>
          <w:sz w:val="28"/>
          <w:szCs w:val="28"/>
        </w:rPr>
      </w:pPr>
      <w:r>
        <w:rPr>
          <w:rFonts w:ascii="微软雅黑" w:hAnsi="微软雅黑" w:cs="微软雅黑" w:eastAsia="微软雅黑" w:hint="eastAsia"/>
          <w:sz w:val="28"/>
          <w:szCs w:val="28"/>
          <w:shd w:val="clear" w:color="auto" w:fill="FFFFFF"/>
        </w:rPr>
        <mc:AlternateContent>
          <mc:Choice Requires="wpg">
            <w:drawing>
              <wp:inline xmlns:wp="http://schemas.openxmlformats.org/drawingml/2006/wordprocessingDrawing" distT="0" distB="0" distL="0" distR="0">
                <wp:extent cx="2524125" cy="1983740"/>
                <wp:effectExtent l="0" t="0" r="9525" b="16510"/>
                <wp:docPr id="9" name="图片 13"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2" name="图片 13" descr="IMG_256" hidden="0"/>
                        <pic:cNvPicPr>
                          <a:picLocks noChangeAspect="1"/>
                        </pic:cNvPicPr>
                      </pic:nvPicPr>
                      <pic:blipFill>
                        <a:blip r:embed="rId19"/>
                        <a:stretch/>
                      </pic:blipFill>
                      <pic:spPr bwMode="auto">
                        <a:xfrm>
                          <a:off x="0" y="0"/>
                          <a:ext cx="2524125" cy="198374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8" o:spid="_x0000_s8" type="#_x0000_t75" style="mso-wrap-distance-left:0.0pt;mso-wrap-distance-top:0.0pt;mso-wrap-distance-right:0.0pt;mso-wrap-distance-bottom:0.0pt;width:198.8pt;height:156.2pt;" strokeweight="0.75pt">
                <v:path textboxrect="0,0,0,0"/>
                <v:imagedata r:id="rId19" o:title=""/>
              </v:shape>
            </w:pict>
          </mc:Fallback>
        </mc:AlternateContent>
      </w:r>
      <w:r>
        <w:rPr>
          <w:rFonts w:ascii="微软雅黑" w:hAnsi="微软雅黑" w:cs="微软雅黑" w:eastAsia="微软雅黑" w:hint="eastAsia"/>
          <w:sz w:val="28"/>
          <w:szCs w:val="28"/>
          <w:shd w:val="clear" w:color="auto" w:fill="FFFFFF"/>
        </w:rPr>
        <mc:AlternateContent>
          <mc:Choice Requires="wpg">
            <w:drawing>
              <wp:inline xmlns:wp="http://schemas.openxmlformats.org/drawingml/2006/wordprocessingDrawing" distT="0" distB="0" distL="0" distR="0">
                <wp:extent cx="2545715" cy="2000250"/>
                <wp:effectExtent l="0" t="0" r="6985" b="0"/>
                <wp:docPr id="10" name="图片 14" descr="IMG_25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3" name="图片 14" descr="IMG_257" hidden="0"/>
                        <pic:cNvPicPr>
                          <a:picLocks noChangeAspect="1"/>
                        </pic:cNvPicPr>
                      </pic:nvPicPr>
                      <pic:blipFill>
                        <a:blip r:embed="rId20"/>
                        <a:stretch/>
                      </pic:blipFill>
                      <pic:spPr bwMode="auto">
                        <a:xfrm>
                          <a:off x="0" y="0"/>
                          <a:ext cx="2545715" cy="200025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9" o:spid="_x0000_s9" type="#_x0000_t75" style="mso-wrap-distance-left:0.0pt;mso-wrap-distance-top:0.0pt;mso-wrap-distance-right:0.0pt;mso-wrap-distance-bottom:0.0pt;width:200.4pt;height:157.5pt;" strokeweight="0.75pt">
                <v:path textboxrect="0,0,0,0"/>
                <v:imagedata r:id="rId20" o:title=""/>
              </v:shape>
            </w:pict>
          </mc:Fallback>
        </mc:AlternateContent>
      </w:r>
      <w:r/>
    </w:p>
    <w:p>
      <w:pPr>
        <w:spacing w:lineRule="auto" w:line="360"/>
        <w:rPr>
          <w:rFonts w:ascii="楷体_GB2312" w:hAnsi="楷体_GB2312" w:cs="Times New Roman" w:eastAsia="楷体_GB2312"/>
          <w:sz w:val="22"/>
          <w:szCs w:val="22"/>
        </w:rPr>
      </w:pPr>
      <w:r>
        <w:rPr>
          <w:rFonts w:ascii="楷体_GB2312" w:hAnsi="楷体_GB2312" w:cs="Times New Roman" w:eastAsia="楷体_GB2312"/>
          <w:sz w:val="22"/>
          <w:szCs w:val="22"/>
        </w:rPr>
      </w:r>
      <w:r/>
    </w:p>
    <w:p>
      <w:pPr>
        <w:spacing w:lineRule="auto" w:line="360"/>
      </w:pPr>
      <w:r>
        <w:rPr>
          <w:rFonts w:ascii="楷体_GB2312" w:hAnsi="楷体_GB2312" w:cs="Times New Roman" w:eastAsia="楷体_GB2312"/>
          <w:sz w:val="22"/>
          <w:szCs w:val="22"/>
        </w:rPr>
        <w:t xml:space="preserve">9：2022年10月31日，学院于超教授、邓涛副研究员团队在国际碳材料顶级期刊《Carbon》上在线发表了题为“C</w:t>
      </w:r>
      <w:r>
        <w:rPr>
          <w:rFonts w:ascii="楷体_GB2312" w:hAnsi="楷体_GB2312" w:cs="Times New Roman" w:eastAsia="楷体_GB2312"/>
          <w:sz w:val="22"/>
          <w:szCs w:val="22"/>
        </w:rPr>
        <w:t xml:space="preserve">arbon Dots Based on Endogenous Nutrients with Visible and NIR Fluorescence to Penetrate Blood-Brain Barrier”最新研究成果。该团队设计合成了一种由内源性营养物质（葡萄糖和色氨酸）为基础单元的全新荧光碳点；该碳点具备穿过血脑屏障和多发射（同时具有可见和近红外荧光）优势，不仅能用于细胞成像，也能进行深层次的动物体内活体成像，尤其是能克服血脑屏障在脑部成像。这对于脑部疾病的诊断治疗来说，具有重要临床应用价值。</w:t>
      </w:r>
      <w:r/>
    </w:p>
    <w:p>
      <w:pPr>
        <w:pStyle w:val="404"/>
        <w:spacing w:lineRule="atLeast" w:line="504" w:after="0" w:afterAutospacing="0" w:before="0" w:beforeAutospacing="0"/>
        <w:rPr>
          <w:rFonts w:ascii="微软雅黑" w:hAnsi="微软雅黑" w:cs="微软雅黑" w:eastAsia="微软雅黑"/>
          <w:sz w:val="28"/>
          <w:szCs w:val="28"/>
        </w:rPr>
      </w:pPr>
      <w:r>
        <w:rPr>
          <w:rFonts w:ascii="楷体_GB2312" w:hAnsi="楷体_GB2312" w:cs="Times New Roman" w:eastAsia="楷体_GB2312" w:hint="eastAsia"/>
          <w:sz w:val="22"/>
          <w:szCs w:val="22"/>
        </w:rPr>
        <w:t xml:space="preserve">10：2022年11月4日，</w:t>
      </w:r>
      <w:r>
        <w:rPr>
          <w:rFonts w:ascii="楷体_GB2312" w:hAnsi="楷体_GB2312" w:cs="Times New Roman" w:eastAsia="楷体_GB2312" w:hint="eastAsia"/>
          <w:sz w:val="22"/>
          <w:szCs w:val="22"/>
        </w:rPr>
        <w:t xml:space="preserve">“2022重庆英才大会.重庆医科大学青年学者论坛—药学院分论坛”在袁家岗校区南楼2-5学术交流室成功举办，副院长严波出席并主持本次活动，学院新引进的部分年轻教师、30多名博士、硕士研究生参加了此次论坛。本次论坛旨在通过学术交流与合作，汇聚海内外优秀青年学者，吸引高层次人才来渝来校。本次活动共计收到简历20余份，经初步遴选，共计邀请8位青年才俊以线上或线下的方式参加论坛。</w:t>
      </w:r>
      <w:r/>
    </w:p>
    <w:p>
      <w:pPr>
        <w:pStyle w:val="404"/>
        <w:jc w:val="center"/>
        <w:spacing w:lineRule="atLeast" w:line="504" w:after="0" w:afterAutospacing="0" w:before="0" w:beforeAutospacing="0"/>
        <w:rPr>
          <w:rFonts w:ascii="微软雅黑" w:hAnsi="微软雅黑" w:cs="微软雅黑" w:eastAsia="微软雅黑"/>
          <w:sz w:val="28"/>
          <w:szCs w:val="28"/>
        </w:rPr>
      </w:pP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2504440" cy="1878965"/>
                <wp:effectExtent l="0" t="0" r="10160" b="6985"/>
                <wp:docPr id="11" name="图片 8"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4" name="图片 8" descr="IMG_256" hidden="0"/>
                        <pic:cNvPicPr>
                          <a:picLocks noChangeAspect="1"/>
                        </pic:cNvPicPr>
                      </pic:nvPicPr>
                      <pic:blipFill>
                        <a:blip r:embed="rId21"/>
                        <a:stretch/>
                      </pic:blipFill>
                      <pic:spPr bwMode="auto">
                        <a:xfrm>
                          <a:off x="0" y="0"/>
                          <a:ext cx="2504440" cy="187896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0" o:spid="_x0000_s10" type="#_x0000_t75" style="mso-wrap-distance-left:0.0pt;mso-wrap-distance-top:0.0pt;mso-wrap-distance-right:0.0pt;mso-wrap-distance-bottom:0.0pt;width:197.2pt;height:147.9pt;" strokeweight="0.75pt">
                <v:path textboxrect="0,0,0,0"/>
                <v:imagedata r:id="rId21" o:title=""/>
              </v:shape>
            </w:pict>
          </mc:Fallback>
        </mc:AlternateContent>
      </w: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2491740" cy="1868805"/>
                <wp:effectExtent l="0" t="0" r="3810" b="17145"/>
                <wp:docPr id="12" name="图片 9" descr="IMG_25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5" name="图片 9" descr="IMG_257" hidden="0"/>
                        <pic:cNvPicPr>
                          <a:picLocks noChangeAspect="1"/>
                        </pic:cNvPicPr>
                      </pic:nvPicPr>
                      <pic:blipFill>
                        <a:blip r:embed="rId22"/>
                        <a:stretch/>
                      </pic:blipFill>
                      <pic:spPr bwMode="auto">
                        <a:xfrm>
                          <a:off x="0" y="0"/>
                          <a:ext cx="2491740" cy="1868805"/>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1" o:spid="_x0000_s11" type="#_x0000_t75" style="mso-wrap-distance-left:0.0pt;mso-wrap-distance-top:0.0pt;mso-wrap-distance-right:0.0pt;mso-wrap-distance-bottom:0.0pt;width:196.2pt;height:147.2pt;" strokeweight="0.75pt">
                <v:path textboxrect="0,0,0,0"/>
                <v:imagedata r:id="rId22" o:title=""/>
              </v:shape>
            </w:pict>
          </mc:Fallback>
        </mc:AlternateContent>
      </w:r>
      <w:r/>
    </w:p>
    <w:p>
      <w:pPr>
        <w:pStyle w:val="404"/>
        <w:spacing w:lineRule="atLeast" w:line="504" w:after="0" w:afterAutospacing="0" w:before="0" w:beforeAutospacing="0"/>
        <w:rPr>
          <w:rFonts w:ascii="微软雅黑" w:hAnsi="微软雅黑" w:cs="微软雅黑" w:eastAsia="微软雅黑"/>
          <w:sz w:val="28"/>
          <w:szCs w:val="28"/>
        </w:rPr>
      </w:pPr>
      <w:r>
        <w:rPr>
          <w:rFonts w:ascii="楷体_GB2312" w:hAnsi="楷体_GB2312" w:cs="Times New Roman" w:eastAsia="楷体_GB2312" w:hint="eastAsia"/>
          <w:sz w:val="22"/>
          <w:szCs w:val="22"/>
        </w:rPr>
        <w:t xml:space="preserve">11：</w:t>
      </w:r>
      <w:r>
        <w:rPr>
          <w:rFonts w:ascii="楷体_GB2312" w:hAnsi="楷体_GB2312" w:cs="Times New Roman" w:eastAsia="楷体_GB2312" w:hint="eastAsia"/>
          <w:sz w:val="22"/>
          <w:szCs w:val="22"/>
        </w:rPr>
        <w:t xml:space="preserve">2022年12月12日下午，应重医药学院于超院长及周维英教授的邀请，瑞典卡罗林斯卡医学院临床前实验室主任Moustapha Hassan教授及其团队骨干PI赵颖博士，通过Zoom会议平台线上为药学院师生带来了主题为“Nanomedicine Research &amp; Imaging”的学术报告。我院阳章友副教授、李阳副教授、陈俊博士及蔡阳博士就自己领域进展进行了分享交流。此次报告会由药学院院长于超教授致辞，周维英教授、赵颖博士主持，50余位师生参加了报告会。</w:t>
      </w:r>
      <w:r/>
    </w:p>
    <w:p>
      <w:pPr>
        <w:pStyle w:val="404"/>
        <w:jc w:val="center"/>
        <w:spacing w:lineRule="atLeast" w:line="504" w:after="0" w:afterAutospacing="0" w:before="0" w:beforeAutospacing="0"/>
        <w:rPr>
          <w:rFonts w:ascii="微软雅黑" w:hAnsi="微软雅黑" w:cs="微软雅黑" w:eastAsia="微软雅黑"/>
          <w:sz w:val="28"/>
          <w:szCs w:val="28"/>
        </w:rPr>
      </w:pP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4762500" cy="1504950"/>
                <wp:effectExtent l="0" t="0" r="0" b="0"/>
                <wp:docPr id="13" name="图片 10" descr="IMG_256"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6" name="图片 10" descr="IMG_256" hidden="0"/>
                        <pic:cNvPicPr>
                          <a:picLocks noChangeAspect="1"/>
                        </pic:cNvPicPr>
                      </pic:nvPicPr>
                      <pic:blipFill>
                        <a:blip r:embed="rId23"/>
                        <a:stretch/>
                      </pic:blipFill>
                      <pic:spPr bwMode="auto">
                        <a:xfrm>
                          <a:off x="0" y="0"/>
                          <a:ext cx="4762500" cy="150495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2" o:spid="_x0000_s12" type="#_x0000_t75" style="mso-wrap-distance-left:0.0pt;mso-wrap-distance-top:0.0pt;mso-wrap-distance-right:0.0pt;mso-wrap-distance-bottom:0.0pt;width:375.0pt;height:118.5pt;" strokeweight="0.75pt">
                <v:path textboxrect="0,0,0,0"/>
                <v:imagedata r:id="rId23" o:title=""/>
              </v:shape>
            </w:pict>
          </mc:Fallback>
        </mc:AlternateContent>
      </w:r>
      <w:r/>
    </w:p>
    <w:p>
      <w:pPr>
        <w:pStyle w:val="404"/>
        <w:jc w:val="center"/>
        <w:spacing w:lineRule="atLeast" w:line="504" w:after="0" w:afterAutospacing="0" w:before="0" w:beforeAutospacing="0"/>
        <w:rPr>
          <w:rFonts w:ascii="微软雅黑" w:hAnsi="微软雅黑" w:cs="微软雅黑" w:eastAsia="微软雅黑"/>
          <w:sz w:val="28"/>
          <w:szCs w:val="28"/>
        </w:rPr>
      </w:pPr>
      <w:r>
        <w:rPr>
          <w:rFonts w:ascii="微软雅黑" w:hAnsi="微软雅黑" w:cs="微软雅黑" w:eastAsia="微软雅黑" w:hint="eastAsia"/>
          <w:sz w:val="28"/>
          <w:szCs w:val="28"/>
        </w:rPr>
        <mc:AlternateContent>
          <mc:Choice Requires="wpg">
            <w:drawing>
              <wp:inline xmlns:wp="http://schemas.openxmlformats.org/drawingml/2006/wordprocessingDrawing" distT="0" distB="0" distL="0" distR="0">
                <wp:extent cx="4762500" cy="1504950"/>
                <wp:effectExtent l="0" t="0" r="0" b="0"/>
                <wp:docPr id="14" name="图片 11" descr="IMG_257"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7" name="图片 11" descr="IMG_257" hidden="0"/>
                        <pic:cNvPicPr>
                          <a:picLocks noChangeAspect="1"/>
                        </pic:cNvPicPr>
                      </pic:nvPicPr>
                      <pic:blipFill>
                        <a:blip r:embed="rId24"/>
                        <a:stretch/>
                      </pic:blipFill>
                      <pic:spPr bwMode="auto">
                        <a:xfrm>
                          <a:off x="0" y="0"/>
                          <a:ext cx="4762500" cy="1504950"/>
                        </a:xfrm>
                        <a:prstGeom prst="rect">
                          <a:avLst/>
                        </a:prstGeom>
                        <a:noFill/>
                        <a:ln w="9525">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3" o:spid="_x0000_s13" type="#_x0000_t75" style="mso-wrap-distance-left:0.0pt;mso-wrap-distance-top:0.0pt;mso-wrap-distance-right:0.0pt;mso-wrap-distance-bottom:0.0pt;width:375.0pt;height:118.5pt;" strokeweight="0.75pt">
                <v:path textboxrect="0,0,0,0"/>
                <v:imagedata r:id="rId24" o:title=""/>
              </v:shape>
            </w:pict>
          </mc:Fallback>
        </mc:AlternateContent>
      </w:r>
      <w:r/>
    </w:p>
    <w:p>
      <w:pPr>
        <w:jc w:val="left"/>
        <w:rPr>
          <w:rFonts w:ascii="Times New Roman" w:hAnsi="Times New Roman" w:cs="Times New Roman" w:eastAsia="楷体_GB2312"/>
          <w:sz w:val="22"/>
          <w:szCs w:val="22"/>
        </w:rPr>
      </w:pPr>
      <w:r>
        <w:rPr>
          <w:rFonts w:ascii="Times New Roman" w:hAnsi="Times New Roman" w:cs="Times New Roman" w:eastAsia="楷体_GB2312"/>
          <w:sz w:val="22"/>
          <w:szCs w:val="22"/>
        </w:rPr>
      </w:r>
      <w:r/>
    </w:p>
    <w:p>
      <w:pPr>
        <w:spacing w:lineRule="auto" w:line="360"/>
        <w:rPr>
          <w:rFonts w:ascii="黑体" w:hAnsi="黑体" w:cs="仿宋_GB2312" w:eastAsia="黑体"/>
          <w:sz w:val="28"/>
          <w:szCs w:val="28"/>
        </w:rPr>
      </w:pPr>
      <w:r>
        <w:rPr>
          <w:rFonts w:ascii="黑体" w:hAnsi="黑体" w:cs="仿宋_GB2312" w:eastAsia="黑体"/>
          <w:sz w:val="28"/>
          <w:szCs w:val="28"/>
        </w:rPr>
      </w:r>
      <w:r/>
    </w:p>
    <w:p>
      <w:pPr>
        <w:ind w:firstLine="560"/>
        <w:spacing w:lineRule="auto" w:line="360"/>
        <w:rPr>
          <w:rFonts w:ascii="黑体" w:hAnsi="黑体" w:cs="仿宋_GB2312" w:eastAsia="黑体"/>
          <w:sz w:val="28"/>
          <w:szCs w:val="28"/>
        </w:rPr>
      </w:pPr>
      <w:r>
        <w:rPr>
          <w:rFonts w:ascii="黑体" w:hAnsi="黑体" w:cs="仿宋_GB2312" w:eastAsia="黑体" w:hint="eastAsia"/>
          <w:sz w:val="28"/>
          <w:szCs w:val="28"/>
        </w:rPr>
        <w:t xml:space="preserve">六、示范中心存在的主要问题</w:t>
      </w:r>
      <w:r/>
    </w:p>
    <w:p>
      <w:pPr>
        <w:ind w:left="360" w:firstLine="480"/>
        <w:spacing w:lineRule="auto" w:line="360"/>
        <w:rPr>
          <w:rFonts w:ascii="黑体" w:hAnsi="黑体" w:cs="仿宋_GB2312" w:eastAsia="黑体"/>
          <w:sz w:val="28"/>
          <w:szCs w:val="28"/>
        </w:rPr>
      </w:pPr>
      <w:r>
        <w:rPr>
          <w:rFonts w:eastAsia="楷体_GB2312"/>
          <w:sz w:val="22"/>
          <w:szCs w:val="22"/>
          <w:lang w:val="zh-TW" w:eastAsia="zh-TW"/>
        </w:rPr>
        <w:t xml:space="preserve">需要充分发挥中心网络平台的作用，增加中心网站上的实验教学内容，包括</w:t>
      </w:r>
      <w:r>
        <w:rPr>
          <w:rFonts w:eastAsia="楷体_GB2312"/>
          <w:sz w:val="22"/>
          <w:szCs w:val="22"/>
          <w:lang w:val="zh-TW" w:eastAsia="zh-TW"/>
        </w:rPr>
        <w:t xml:space="preserve">实验视频、课件等；还需要进实验技术人员以补充退休实验技术人员的不足；为实验室长远发展考虑，中心需要有一位具有影响力的专职实验室</w:t>
      </w:r>
      <w:r>
        <w:rPr>
          <w:rFonts w:eastAsia="楷体_GB2312" w:hint="eastAsia"/>
          <w:sz w:val="22"/>
          <w:szCs w:val="22"/>
          <w:lang w:val="zh-TW"/>
        </w:rPr>
        <w:t xml:space="preserve">副</w:t>
      </w:r>
      <w:r>
        <w:rPr>
          <w:rFonts w:eastAsia="楷体_GB2312"/>
          <w:sz w:val="22"/>
          <w:szCs w:val="22"/>
          <w:lang w:val="zh-TW" w:eastAsia="zh-TW"/>
        </w:rPr>
        <w:t xml:space="preserve">主任。</w:t>
      </w:r>
      <w:r/>
    </w:p>
    <w:p>
      <w:pPr>
        <w:ind w:firstLine="560"/>
        <w:spacing w:lineRule="auto" w:line="360"/>
        <w:rPr>
          <w:rFonts w:ascii="黑体" w:hAnsi="黑体" w:cs="仿宋_GB2312" w:eastAsia="黑体"/>
          <w:sz w:val="28"/>
          <w:szCs w:val="28"/>
        </w:rPr>
      </w:pPr>
      <w:r>
        <w:rPr>
          <w:rFonts w:ascii="黑体" w:hAnsi="黑体" w:cs="仿宋_GB2312" w:eastAsia="黑体" w:hint="eastAsia"/>
          <w:sz w:val="28"/>
          <w:szCs w:val="28"/>
        </w:rPr>
        <w:t xml:space="preserve">七、</w:t>
      </w:r>
      <w:bookmarkStart w:id="5" w:name="OLE_LINK93"/>
      <w:r/>
      <w:bookmarkStart w:id="6" w:name="OLE_LINK1"/>
      <w:r/>
      <w:bookmarkStart w:id="7" w:name="OLE_LINK71"/>
      <w:r/>
      <w:bookmarkStart w:id="8" w:name="OLE_LINK89"/>
      <w:r/>
      <w:bookmarkStart w:id="9" w:name="OLE_LINK58"/>
      <w:r/>
      <w:bookmarkStart w:id="10" w:name="OLE_LINK60"/>
      <w:r/>
      <w:bookmarkStart w:id="11" w:name="OLE_LINK22"/>
      <w:r/>
      <w:bookmarkStart w:id="12" w:name="OLE_LINK30"/>
      <w:r/>
      <w:bookmarkStart w:id="13" w:name="OLE_LINK24"/>
      <w:r/>
      <w:bookmarkStart w:id="14" w:name="OLE_LINK54"/>
      <w:r/>
      <w:bookmarkStart w:id="15" w:name="OLE_LINK56"/>
      <w:r/>
      <w:bookmarkStart w:id="16" w:name="OLE_LINK38"/>
      <w:r/>
      <w:bookmarkStart w:id="17" w:name="OLE_LINK67"/>
      <w:r/>
      <w:bookmarkStart w:id="18" w:name="OLE_LINK11"/>
      <w:r/>
      <w:bookmarkStart w:id="19" w:name="OLE_LINK97"/>
      <w:r/>
      <w:bookmarkStart w:id="20" w:name="OLE_LINK61"/>
      <w:r/>
      <w:bookmarkStart w:id="21" w:name="OLE_LINK5"/>
      <w:r/>
      <w:bookmarkStart w:id="22" w:name="OLE_LINK62"/>
      <w:r/>
      <w:bookmarkStart w:id="23" w:name="OLE_LINK70"/>
      <w:r/>
      <w:bookmarkStart w:id="24" w:name="OLE_LINK31"/>
      <w:r/>
      <w:bookmarkStart w:id="25" w:name="OLE_LINK13"/>
      <w:r/>
      <w:bookmarkStart w:id="26" w:name="OLE_LINK84"/>
      <w:r/>
      <w:bookmarkStart w:id="27" w:name="OLE_LINK74"/>
      <w:r/>
      <w:bookmarkStart w:id="28" w:name="OLE_LINK45"/>
      <w:r/>
      <w:bookmarkStart w:id="29" w:name="OLE_LINK95"/>
      <w:r/>
      <w:bookmarkStart w:id="30" w:name="OLE_LINK3"/>
      <w:r/>
      <w:bookmarkStart w:id="31" w:name="OLE_LINK33"/>
      <w:r/>
      <w:bookmarkStart w:id="32" w:name="OLE_LINK20"/>
      <w:r/>
      <w:bookmarkStart w:id="33" w:name="OLE_LINK79"/>
      <w:r/>
      <w:bookmarkStart w:id="34" w:name="OLE_LINK87"/>
      <w:r/>
      <w:bookmarkStart w:id="35" w:name="OLE_LINK2"/>
      <w:r/>
      <w:bookmarkStart w:id="36" w:name="OLE_LINK29"/>
      <w:r/>
      <w:bookmarkStart w:id="37" w:name="OLE_LINK69"/>
      <w:r/>
      <w:bookmarkStart w:id="38" w:name="OLE_LINK25"/>
      <w:r/>
      <w:bookmarkStart w:id="39" w:name="OLE_LINK76"/>
      <w:r/>
      <w:bookmarkStart w:id="40" w:name="OLE_LINK90"/>
      <w:r/>
      <w:bookmarkStart w:id="41" w:name="OLE_LINK18"/>
      <w:r/>
      <w:bookmarkStart w:id="42" w:name="OLE_LINK42"/>
      <w:r/>
      <w:bookmarkStart w:id="43" w:name="OLE_LINK50"/>
      <w:r/>
      <w:bookmarkStart w:id="44" w:name="OLE_LINK26"/>
      <w:r/>
      <w:bookmarkStart w:id="45" w:name="OLE_LINK17"/>
      <w:r/>
      <w:bookmarkStart w:id="46" w:name="OLE_LINK59"/>
      <w:r/>
      <w:bookmarkStart w:id="47" w:name="OLE_LINK39"/>
      <w:r/>
      <w:bookmarkStart w:id="48" w:name="OLE_LINK85"/>
      <w:r/>
      <w:bookmarkStart w:id="49" w:name="OLE_LINK55"/>
      <w:r/>
      <w:bookmarkStart w:id="50" w:name="OLE_LINK32"/>
      <w:r/>
      <w:bookmarkStart w:id="51" w:name="OLE_LINK40"/>
      <w:r/>
      <w:bookmarkStart w:id="52" w:name="OLE_LINK82"/>
      <w:r/>
      <w:bookmarkStart w:id="53" w:name="OLE_LINK16"/>
      <w:r/>
      <w:bookmarkStart w:id="54" w:name="OLE_LINK102"/>
      <w:r/>
      <w:bookmarkStart w:id="55" w:name="OLE_LINK68"/>
      <w:r/>
      <w:bookmarkStart w:id="56" w:name="OLE_LINK96"/>
      <w:r/>
      <w:bookmarkStart w:id="57" w:name="OLE_LINK8"/>
      <w:r/>
      <w:bookmarkStart w:id="58" w:name="OLE_LINK48"/>
      <w:r/>
      <w:bookmarkStart w:id="59" w:name="OLE_LINK23"/>
      <w:r/>
      <w:bookmarkStart w:id="60" w:name="OLE_LINK88"/>
      <w:r/>
      <w:bookmarkStart w:id="61" w:name="OLE_LINK41"/>
      <w:r/>
      <w:bookmarkStart w:id="62" w:name="OLE_LINK73"/>
      <w:r/>
      <w:bookmarkStart w:id="63" w:name="OLE_LINK103"/>
      <w:r/>
      <w:bookmarkStart w:id="64" w:name="OLE_LINK10"/>
      <w:r/>
      <w:bookmarkStart w:id="65" w:name="OLE_LINK21"/>
      <w:r/>
      <w:bookmarkStart w:id="66" w:name="OLE_LINK77"/>
      <w:r/>
      <w:bookmarkStart w:id="67" w:name="OLE_LINK78"/>
      <w:r/>
      <w:bookmarkStart w:id="68" w:name="OLE_LINK100"/>
      <w:r/>
      <w:bookmarkStart w:id="69" w:name="OLE_LINK34"/>
      <w:r/>
      <w:bookmarkStart w:id="70" w:name="OLE_LINK19"/>
      <w:r/>
      <w:bookmarkStart w:id="71" w:name="OLE_LINK101"/>
      <w:r/>
      <w:bookmarkStart w:id="72" w:name="OLE_LINK98"/>
      <w:r/>
      <w:bookmarkStart w:id="73" w:name="OLE_LINK75"/>
      <w:r/>
      <w:bookmarkStart w:id="74" w:name="OLE_LINK12"/>
      <w:r/>
      <w:bookmarkStart w:id="75" w:name="OLE_LINK52"/>
      <w:r/>
      <w:bookmarkStart w:id="76" w:name="OLE_LINK72"/>
      <w:r/>
      <w:bookmarkStart w:id="77" w:name="OLE_LINK49"/>
      <w:r/>
      <w:bookmarkStart w:id="78" w:name="OLE_LINK36"/>
      <w:r/>
      <w:bookmarkStart w:id="79" w:name="OLE_LINK6"/>
      <w:r/>
      <w:bookmarkStart w:id="80" w:name="OLE_LINK15"/>
      <w:r/>
      <w:bookmarkStart w:id="81" w:name="OLE_LINK63"/>
      <w:r/>
      <w:bookmarkStart w:id="82" w:name="OLE_LINK99"/>
      <w:r/>
      <w:bookmarkStart w:id="83" w:name="OLE_LINK4"/>
      <w:r/>
      <w:bookmarkStart w:id="84" w:name="OLE_LINK46"/>
      <w:r/>
      <w:bookmarkStart w:id="85" w:name="OLE_LINK65"/>
      <w:r/>
      <w:bookmarkStart w:id="86" w:name="OLE_LINK94"/>
      <w:r/>
      <w:bookmarkStart w:id="87" w:name="OLE_LINK7"/>
      <w:r/>
      <w:bookmarkStart w:id="88" w:name="OLE_LINK27"/>
      <w:r/>
      <w:bookmarkStart w:id="89" w:name="OLE_LINK35"/>
      <w:r/>
      <w:bookmarkStart w:id="90" w:name="OLE_LINK64"/>
      <w:r/>
      <w:bookmarkStart w:id="91" w:name="OLE_LINK37"/>
      <w:r/>
      <w:bookmarkStart w:id="92" w:name="OLE_LINK47"/>
      <w:r/>
      <w:bookmarkStart w:id="93" w:name="OLE_LINK66"/>
      <w:r/>
      <w:bookmarkStart w:id="94" w:name="OLE_LINK51"/>
      <w:r/>
      <w:bookmarkStart w:id="95" w:name="OLE_LINK91"/>
      <w:r/>
      <w:bookmarkStart w:id="96" w:name="OLE_LINK44"/>
      <w:r/>
      <w:bookmarkStart w:id="97" w:name="OLE_LINK80"/>
      <w:r/>
      <w:bookmarkStart w:id="98" w:name="OLE_LINK14"/>
      <w:r/>
      <w:bookmarkStart w:id="99" w:name="OLE_LINK57"/>
      <w:r/>
      <w:bookmarkStart w:id="100" w:name="OLE_LINK28"/>
      <w:r/>
      <w:bookmarkStart w:id="101" w:name="OLE_LINK43"/>
      <w:r/>
      <w:bookmarkStart w:id="102" w:name="OLE_LINK92"/>
      <w:r/>
      <w:bookmarkStart w:id="103" w:name="OLE_LINK83"/>
      <w:r/>
      <w:bookmarkStart w:id="104" w:name="OLE_LINK86"/>
      <w:r/>
      <w:bookmarkStart w:id="105" w:name="OLE_LINK81"/>
      <w:r/>
      <w:bookmarkStart w:id="106" w:name="OLE_LINK53"/>
      <w:r>
        <w:rPr>
          <w:rFonts w:ascii="黑体" w:hAnsi="黑体" w:cs="仿宋_GB2312" w:eastAsia="黑体" w:hint="eastAsia"/>
          <w:sz w:val="28"/>
          <w:szCs w:val="28"/>
        </w:rPr>
        <w:t xml:space="preserve">所在学校与学校上级主管部门</w:t>
      </w:r>
      <w:bookmarkEnd w:id="5"/>
      <w:r/>
      <w:bookmarkEnd w:id="6"/>
      <w:r/>
      <w:bookmarkEnd w:id="7"/>
      <w:r/>
      <w:bookmarkEnd w:id="8"/>
      <w:r/>
      <w:bookmarkEnd w:id="9"/>
      <w:r/>
      <w:bookmarkEnd w:id="10"/>
      <w:r/>
      <w:bookmarkEnd w:id="11"/>
      <w:r/>
      <w:bookmarkEnd w:id="12"/>
      <w:r/>
      <w:bookmarkEnd w:id="13"/>
      <w:r/>
      <w:bookmarkEnd w:id="14"/>
      <w:r/>
      <w:bookmarkEnd w:id="15"/>
      <w:r/>
      <w:bookmarkEnd w:id="16"/>
      <w:r/>
      <w:bookmarkEnd w:id="17"/>
      <w:r/>
      <w:bookmarkEnd w:id="18"/>
      <w:r/>
      <w:bookmarkEnd w:id="19"/>
      <w:r/>
      <w:bookmarkEnd w:id="20"/>
      <w:r/>
      <w:bookmarkEnd w:id="21"/>
      <w:r/>
      <w:bookmarkEnd w:id="22"/>
      <w:r/>
      <w:bookmarkEnd w:id="23"/>
      <w:r/>
      <w:bookmarkEnd w:id="24"/>
      <w:r/>
      <w:bookmarkEnd w:id="25"/>
      <w:r/>
      <w:bookmarkEnd w:id="26"/>
      <w:r/>
      <w:bookmarkEnd w:id="27"/>
      <w:r/>
      <w:bookmarkEnd w:id="28"/>
      <w:r/>
      <w:bookmarkEnd w:id="29"/>
      <w:r/>
      <w:bookmarkEnd w:id="30"/>
      <w:r/>
      <w:bookmarkEnd w:id="31"/>
      <w:r/>
      <w:bookmarkEnd w:id="32"/>
      <w:r/>
      <w:bookmarkEnd w:id="33"/>
      <w:r/>
      <w:bookmarkEnd w:id="34"/>
      <w:r/>
      <w:bookmarkEnd w:id="35"/>
      <w:r/>
      <w:bookmarkEnd w:id="36"/>
      <w:r/>
      <w:bookmarkEnd w:id="37"/>
      <w:r/>
      <w:bookmarkEnd w:id="38"/>
      <w:r/>
      <w:bookmarkEnd w:id="39"/>
      <w:r/>
      <w:bookmarkEnd w:id="40"/>
      <w:r/>
      <w:bookmarkEnd w:id="41"/>
      <w:r/>
      <w:bookmarkEnd w:id="42"/>
      <w:r/>
      <w:bookmarkEnd w:id="43"/>
      <w:r/>
      <w:bookmarkEnd w:id="44"/>
      <w:r/>
      <w:bookmarkEnd w:id="45"/>
      <w:r/>
      <w:bookmarkEnd w:id="46"/>
      <w:r/>
      <w:bookmarkEnd w:id="47"/>
      <w:r/>
      <w:bookmarkEnd w:id="48"/>
      <w:r/>
      <w:bookmarkEnd w:id="49"/>
      <w:r/>
      <w:bookmarkEnd w:id="50"/>
      <w:r/>
      <w:bookmarkEnd w:id="51"/>
      <w:r/>
      <w:bookmarkEnd w:id="52"/>
      <w:r/>
      <w:bookmarkEnd w:id="53"/>
      <w:r/>
      <w:bookmarkEnd w:id="54"/>
      <w:r/>
      <w:bookmarkEnd w:id="55"/>
      <w:r/>
      <w:bookmarkEnd w:id="56"/>
      <w:r/>
      <w:bookmarkEnd w:id="57"/>
      <w:r/>
      <w:bookmarkEnd w:id="58"/>
      <w:r/>
      <w:bookmarkEnd w:id="59"/>
      <w:r/>
      <w:bookmarkEnd w:id="60"/>
      <w:r/>
      <w:bookmarkEnd w:id="61"/>
      <w:r/>
      <w:bookmarkEnd w:id="62"/>
      <w:r/>
      <w:bookmarkEnd w:id="63"/>
      <w:r/>
      <w:bookmarkEnd w:id="64"/>
      <w:r/>
      <w:bookmarkEnd w:id="65"/>
      <w:r/>
      <w:bookmarkEnd w:id="66"/>
      <w:r/>
      <w:bookmarkEnd w:id="67"/>
      <w:r/>
      <w:bookmarkEnd w:id="68"/>
      <w:r/>
      <w:bookmarkEnd w:id="69"/>
      <w:r/>
      <w:bookmarkEnd w:id="70"/>
      <w:r/>
      <w:bookmarkEnd w:id="71"/>
      <w:r/>
      <w:bookmarkEnd w:id="72"/>
      <w:r/>
      <w:bookmarkEnd w:id="73"/>
      <w:r/>
      <w:bookmarkEnd w:id="74"/>
      <w:r/>
      <w:bookmarkEnd w:id="75"/>
      <w:r/>
      <w:bookmarkEnd w:id="76"/>
      <w:r/>
      <w:bookmarkEnd w:id="77"/>
      <w:r/>
      <w:bookmarkEnd w:id="78"/>
      <w:r/>
      <w:bookmarkEnd w:id="79"/>
      <w:r/>
      <w:bookmarkEnd w:id="80"/>
      <w:r/>
      <w:bookmarkEnd w:id="81"/>
      <w:r/>
      <w:bookmarkEnd w:id="82"/>
      <w:r/>
      <w:bookmarkEnd w:id="83"/>
      <w:r/>
      <w:bookmarkEnd w:id="84"/>
      <w:r/>
      <w:bookmarkEnd w:id="85"/>
      <w:r/>
      <w:bookmarkEnd w:id="86"/>
      <w:r/>
      <w:bookmarkEnd w:id="87"/>
      <w:r/>
      <w:bookmarkEnd w:id="88"/>
      <w:r/>
      <w:bookmarkEnd w:id="89"/>
      <w:r/>
      <w:bookmarkEnd w:id="90"/>
      <w:r/>
      <w:bookmarkEnd w:id="91"/>
      <w:r/>
      <w:bookmarkEnd w:id="92"/>
      <w:r/>
      <w:bookmarkEnd w:id="93"/>
      <w:r/>
      <w:bookmarkEnd w:id="94"/>
      <w:r/>
      <w:bookmarkEnd w:id="95"/>
      <w:r/>
      <w:bookmarkEnd w:id="96"/>
      <w:r/>
      <w:bookmarkEnd w:id="97"/>
      <w:r/>
      <w:bookmarkEnd w:id="98"/>
      <w:r/>
      <w:bookmarkEnd w:id="99"/>
      <w:r/>
      <w:bookmarkEnd w:id="100"/>
      <w:r/>
      <w:bookmarkEnd w:id="101"/>
      <w:r/>
      <w:bookmarkEnd w:id="102"/>
      <w:r/>
      <w:bookmarkEnd w:id="103"/>
      <w:r/>
      <w:bookmarkEnd w:id="104"/>
      <w:r/>
      <w:bookmarkEnd w:id="105"/>
      <w:r/>
      <w:bookmarkEnd w:id="106"/>
      <w:r>
        <w:rPr>
          <w:rFonts w:ascii="黑体" w:hAnsi="黑体" w:cs="仿宋_GB2312" w:eastAsia="黑体" w:hint="eastAsia"/>
          <w:sz w:val="28"/>
          <w:szCs w:val="28"/>
        </w:rPr>
        <w:t xml:space="preserve">的支持</w:t>
      </w:r>
      <w:r/>
    </w:p>
    <w:p>
      <w:pPr>
        <w:ind w:left="240" w:firstLine="480"/>
        <w:spacing w:lineRule="auto" w:line="360"/>
        <w:rPr>
          <w:rFonts w:eastAsia="楷体_GB2312"/>
          <w:sz w:val="22"/>
          <w:szCs w:val="22"/>
          <w:lang w:val="zh-TW" w:eastAsia="zh-TW"/>
        </w:rPr>
      </w:pPr>
      <w:r>
        <w:rPr>
          <w:rFonts w:eastAsia="楷体_GB2312"/>
          <w:sz w:val="22"/>
          <w:szCs w:val="22"/>
          <w:lang w:val="zh-TW" w:eastAsia="zh-TW"/>
        </w:rPr>
        <w:t xml:space="preserve">重庆医科大学认真贯彻执行国家教育部</w:t>
      </w:r>
      <w:r>
        <w:rPr>
          <w:rFonts w:eastAsia="楷体_GB2312"/>
          <w:sz w:val="22"/>
          <w:szCs w:val="22"/>
          <w:lang w:val="zh-TW" w:eastAsia="zh-TW"/>
        </w:rPr>
        <w:t xml:space="preserve">“</w:t>
      </w:r>
      <w:r>
        <w:rPr>
          <w:rFonts w:eastAsia="楷体_GB2312"/>
          <w:sz w:val="22"/>
          <w:szCs w:val="22"/>
          <w:lang w:val="zh-TW" w:eastAsia="zh-TW"/>
        </w:rPr>
        <w:t xml:space="preserve">新世纪高等教育教学改革工程</w:t>
      </w:r>
      <w:r>
        <w:rPr>
          <w:rFonts w:eastAsia="楷体_GB2312"/>
          <w:sz w:val="22"/>
          <w:szCs w:val="22"/>
          <w:lang w:val="zh-TW" w:eastAsia="zh-TW"/>
        </w:rPr>
        <w:t xml:space="preserve">”</w:t>
      </w:r>
      <w:r>
        <w:rPr>
          <w:rFonts w:eastAsia="楷体_GB2312"/>
          <w:sz w:val="22"/>
          <w:szCs w:val="22"/>
          <w:lang w:val="zh-TW" w:eastAsia="zh-TW"/>
        </w:rPr>
        <w:t xml:space="preserve">，将构建与学校教育目标相适应的实验教学平台和实验教学体系建设作为学校发展规划之一，制订了与实验教学、实验室建设与管理有关的一系列政策、文件和制度，以鼓励实验教学人员、实验技术人员和实验管理人员积极参与实验教学及科研工作。学院领导一直把实验教学作为教学改革的重点工程来抓，积极推进实验教学的改革与发展。具体表现在：</w:t>
      </w:r>
      <w:r/>
    </w:p>
    <w:p>
      <w:pPr>
        <w:ind w:left="240" w:firstLine="480"/>
        <w:spacing w:lineRule="auto" w:line="360"/>
        <w:rPr>
          <w:rFonts w:eastAsia="楷体_GB2312"/>
          <w:sz w:val="22"/>
          <w:szCs w:val="22"/>
          <w:lang w:val="zh-TW" w:eastAsia="zh-TW"/>
        </w:rPr>
      </w:pPr>
      <w:r>
        <w:rPr>
          <w:rFonts w:eastAsia="楷体_GB2312"/>
          <w:sz w:val="22"/>
          <w:szCs w:val="22"/>
          <w:lang w:val="zh-TW" w:eastAsia="zh-TW"/>
        </w:rPr>
        <w:t xml:space="preserve">1. </w:t>
      </w:r>
      <w:r>
        <w:rPr>
          <w:rFonts w:eastAsia="楷体_GB2312"/>
          <w:sz w:val="22"/>
          <w:szCs w:val="22"/>
          <w:lang w:val="zh-TW" w:eastAsia="zh-TW"/>
        </w:rPr>
        <w:t xml:space="preserve">高度重视实验教学的地位，加强实验教学的组织领导，统筹实验教学的规划发展和业务管理等工作。实验中心对实验教学设备和实验用房实行统一管理和调配，以提供系统的、多功能的实验技术平台为基本职能，以保障实验教学的水平为基本任务，做到资源共享，形成规模效应。</w:t>
      </w:r>
      <w:r/>
    </w:p>
    <w:p>
      <w:pPr>
        <w:ind w:left="240" w:firstLine="480"/>
        <w:spacing w:lineRule="auto" w:line="360"/>
        <w:rPr>
          <w:rFonts w:ascii="Times New Roman" w:hAnsi="Times New Roman" w:cs="Times New Roman" w:eastAsia="楷体_GB2312"/>
          <w:sz w:val="22"/>
          <w:szCs w:val="22"/>
          <w:lang w:val="zh-TW"/>
        </w:rPr>
      </w:pPr>
      <w:r>
        <w:rPr>
          <w:rFonts w:ascii="Times New Roman" w:hAnsi="Times New Roman" w:cs="Times New Roman" w:eastAsia="楷体_GB2312"/>
          <w:sz w:val="22"/>
          <w:szCs w:val="22"/>
          <w:lang w:val="zh-TW" w:eastAsia="zh-TW"/>
        </w:rPr>
        <w:t xml:space="preserve">2. </w:t>
      </w:r>
      <w:r>
        <w:rPr>
          <w:rFonts w:ascii="Times New Roman" w:hAnsi="Times New Roman" w:cs="Times New Roman" w:eastAsia="楷体_GB2312"/>
          <w:sz w:val="22"/>
          <w:szCs w:val="22"/>
          <w:lang w:val="zh-TW" w:eastAsia="zh-TW"/>
        </w:rPr>
        <w:t xml:space="preserve">保证实验室建设与实验项目建设经费的落实，做到实验室建设的经费及时足额到位；通过多渠道投资的整合与严格审批程序，保证了投资效益的提高。</w:t>
      </w:r>
      <w:r>
        <w:rPr>
          <w:rFonts w:ascii="Times New Roman" w:hAnsi="Times New Roman" w:cs="Times New Roman" w:eastAsia="楷体_GB2312"/>
          <w:sz w:val="22"/>
          <w:szCs w:val="22"/>
          <w:lang w:val="zh-TW"/>
        </w:rPr>
        <w:t xml:space="preserve">202</w:t>
      </w:r>
      <w:r>
        <w:rPr>
          <w:rFonts w:ascii="Times New Roman" w:hAnsi="Times New Roman" w:cs="Times New Roman" w:eastAsia="楷体_GB2312"/>
          <w:sz w:val="22"/>
          <w:szCs w:val="22"/>
        </w:rPr>
        <w:t xml:space="preserve">1</w:t>
      </w:r>
      <w:r>
        <w:rPr>
          <w:rFonts w:ascii="Times New Roman" w:hAnsi="Times New Roman" w:cs="Times New Roman" w:eastAsia="楷体_GB2312"/>
          <w:sz w:val="22"/>
          <w:szCs w:val="22"/>
          <w:lang w:val="zh-TW"/>
        </w:rPr>
        <w:t xml:space="preserve">年学校</w:t>
      </w:r>
      <w:r>
        <w:rPr>
          <w:rFonts w:ascii="Times New Roman" w:hAnsi="Times New Roman" w:cs="Times New Roman" w:eastAsia="楷体_GB2312"/>
          <w:sz w:val="22"/>
          <w:szCs w:val="22"/>
          <w:lang w:val="zh-TW" w:eastAsia="zh-TW"/>
        </w:rPr>
        <w:t xml:space="preserve">投资</w:t>
      </w:r>
      <w:r>
        <w:rPr>
          <w:rFonts w:ascii="Times New Roman" w:hAnsi="Times New Roman" w:cs="Times New Roman" w:eastAsia="楷体_GB2312"/>
          <w:sz w:val="22"/>
          <w:szCs w:val="22"/>
        </w:rPr>
        <w:t xml:space="preserve">210</w:t>
      </w:r>
      <w:r>
        <w:rPr>
          <w:rFonts w:ascii="Times New Roman" w:hAnsi="Times New Roman" w:cs="Times New Roman" w:eastAsia="楷体_GB2312"/>
          <w:sz w:val="22"/>
          <w:szCs w:val="22"/>
          <w:lang w:val="zh-TW"/>
        </w:rPr>
        <w:t xml:space="preserve">万</w:t>
      </w:r>
      <w:r>
        <w:rPr>
          <w:rFonts w:ascii="Times New Roman" w:hAnsi="Times New Roman" w:cs="Times New Roman" w:eastAsia="楷体_GB2312"/>
          <w:sz w:val="22"/>
          <w:szCs w:val="22"/>
        </w:rPr>
        <w:t xml:space="preserve">建设了</w:t>
      </w:r>
      <w:r>
        <w:rPr>
          <w:rFonts w:ascii="Times New Roman" w:hAnsi="Times New Roman" w:cs="Times New Roman" w:eastAsia="楷体_GB2312"/>
        </w:rPr>
        <w:t xml:space="preserve">药学虚拟仿真实训中心，拓展学生的实验境界，</w:t>
      </w:r>
      <w:r>
        <w:rPr>
          <w:rFonts w:ascii="Times New Roman" w:hAnsi="Times New Roman" w:cs="Times New Roman" w:eastAsia="楷体_GB2312"/>
          <w:sz w:val="22"/>
          <w:szCs w:val="22"/>
          <w:lang w:val="zh-TW"/>
        </w:rPr>
        <w:t xml:space="preserve">202</w:t>
      </w:r>
      <w:r>
        <w:rPr>
          <w:rFonts w:ascii="Times New Roman" w:hAnsi="Times New Roman" w:cs="Times New Roman" w:eastAsia="楷体_GB2312"/>
          <w:sz w:val="22"/>
          <w:szCs w:val="22"/>
        </w:rPr>
        <w:t xml:space="preserve">2</w:t>
      </w:r>
      <w:r>
        <w:rPr>
          <w:rFonts w:ascii="Times New Roman" w:hAnsi="Times New Roman" w:cs="Times New Roman" w:eastAsia="楷体_GB2312"/>
          <w:sz w:val="22"/>
          <w:szCs w:val="22"/>
          <w:lang w:val="zh-TW"/>
        </w:rPr>
        <w:t xml:space="preserve">年</w:t>
      </w:r>
      <w:r>
        <w:rPr>
          <w:rFonts w:ascii="Times New Roman" w:hAnsi="Times New Roman" w:cs="Times New Roman" w:eastAsia="楷体_GB2312"/>
        </w:rPr>
        <w:t xml:space="preserve">投入</w:t>
      </w:r>
      <w:r>
        <w:rPr>
          <w:rFonts w:ascii="Times New Roman" w:hAnsi="Times New Roman" w:cs="Times New Roman" w:eastAsia="楷体_GB2312"/>
        </w:rPr>
        <w:t xml:space="preserve">4</w:t>
      </w:r>
      <w:r>
        <w:rPr>
          <w:rFonts w:ascii="Times New Roman" w:hAnsi="Times New Roman" w:cs="Times New Roman" w:eastAsia="楷体_GB2312" w:hint="eastAsia"/>
        </w:rPr>
        <w:t xml:space="preserve">57</w:t>
      </w:r>
      <w:r>
        <w:rPr>
          <w:rFonts w:ascii="Times New Roman" w:hAnsi="Times New Roman" w:cs="Times New Roman" w:eastAsia="楷体_GB2312"/>
          <w:sz w:val="22"/>
          <w:szCs w:val="22"/>
        </w:rPr>
        <w:t xml:space="preserve">万购买了大型实验仪器</w:t>
      </w:r>
      <w:r>
        <w:rPr>
          <w:rFonts w:ascii="Times New Roman" w:hAnsi="Times New Roman" w:cs="Times New Roman" w:eastAsia="楷体_GB2312"/>
          <w:sz w:val="22"/>
          <w:szCs w:val="22"/>
          <w:lang w:val="zh-TW"/>
        </w:rPr>
        <w:t xml:space="preserve">，</w:t>
      </w:r>
      <w:r>
        <w:rPr>
          <w:rFonts w:ascii="Times New Roman" w:hAnsi="Times New Roman" w:cs="Times New Roman" w:eastAsia="楷体_GB2312"/>
          <w:sz w:val="22"/>
          <w:szCs w:val="22"/>
        </w:rPr>
        <w:t xml:space="preserve">其中</w:t>
      </w:r>
      <w:r>
        <w:rPr>
          <w:rFonts w:ascii="Times New Roman" w:hAnsi="Times New Roman" w:cs="Times New Roman" w:eastAsia="楷体_GB2312"/>
          <w:sz w:val="22"/>
          <w:szCs w:val="22"/>
        </w:rPr>
        <w:t xml:space="preserve">128</w:t>
      </w:r>
      <w:r>
        <w:rPr>
          <w:rFonts w:ascii="Times New Roman" w:hAnsi="Times New Roman" w:cs="Times New Roman" w:eastAsia="楷体_GB2312"/>
          <w:sz w:val="22"/>
          <w:szCs w:val="22"/>
        </w:rPr>
        <w:t xml:space="preserve">万用于本科学生实验设备的更新，</w:t>
      </w:r>
      <w:r>
        <w:rPr>
          <w:rFonts w:ascii="Times New Roman" w:hAnsi="Times New Roman" w:cs="Times New Roman" w:eastAsia="楷体_GB2312"/>
          <w:sz w:val="22"/>
          <w:szCs w:val="22"/>
          <w:lang w:val="zh-TW"/>
        </w:rPr>
        <w:t xml:space="preserve">使得学生实验</w:t>
      </w:r>
      <w:r>
        <w:rPr>
          <w:rFonts w:ascii="Times New Roman" w:hAnsi="Times New Roman" w:cs="Times New Roman" w:eastAsia="楷体_GB2312"/>
          <w:sz w:val="22"/>
          <w:szCs w:val="22"/>
        </w:rPr>
        <w:t xml:space="preserve">条件得到</w:t>
      </w:r>
      <w:r>
        <w:rPr>
          <w:rFonts w:ascii="Times New Roman" w:hAnsi="Times New Roman" w:cs="Times New Roman" w:eastAsia="楷体_GB2312"/>
          <w:sz w:val="22"/>
          <w:szCs w:val="22"/>
          <w:lang w:val="zh-TW"/>
        </w:rPr>
        <w:t xml:space="preserve">改善。</w:t>
      </w:r>
      <w:r/>
    </w:p>
    <w:p>
      <w:pPr>
        <w:ind w:left="240" w:firstLine="480"/>
        <w:spacing w:lineRule="auto" w:line="360"/>
        <w:rPr>
          <w:rFonts w:ascii="黑体" w:hAnsi="黑体" w:eastAsia="黑体"/>
          <w:sz w:val="28"/>
          <w:szCs w:val="28"/>
        </w:rPr>
      </w:pPr>
      <w:r>
        <w:rPr>
          <w:rFonts w:eastAsia="楷体_GB2312"/>
          <w:sz w:val="22"/>
          <w:szCs w:val="22"/>
          <w:lang w:val="zh-TW" w:eastAsia="zh-TW"/>
        </w:rPr>
        <w:t xml:space="preserve">3. </w:t>
      </w:r>
      <w:r>
        <w:rPr>
          <w:rFonts w:eastAsia="楷体_GB2312"/>
          <w:sz w:val="22"/>
          <w:szCs w:val="22"/>
          <w:lang w:val="zh-TW" w:eastAsia="zh-TW"/>
        </w:rPr>
        <w:t xml:space="preserve">狠抓实验教学师资队伍素质和水平的提高，学校制定了师资队伍建设规划，出台了师资选拔、培养、引进与使用办法，在实验教学师资培训、实验教学教研教改立项和教学课时量统计计酬等方面给予了大力支持，以造就一支观念新、素质高的实验教学队伍，确保实验教学中心的可持续发展。</w:t>
      </w:r>
      <w:r/>
    </w:p>
    <w:p>
      <w:r/>
      <w:r/>
    </w:p>
    <w:p>
      <w:pPr>
        <w:jc w:val="center"/>
        <w:rPr>
          <w:rFonts w:ascii="黑体" w:hAnsi="黑体" w:cs="仿宋_GB2312" w:eastAsia="黑体"/>
          <w:b/>
          <w:bCs/>
          <w:sz w:val="32"/>
          <w:szCs w:val="32"/>
        </w:rPr>
      </w:pPr>
      <w:r>
        <w:rPr>
          <w:rFonts w:ascii="黑体" w:hAnsi="黑体" w:cs="仿宋_GB2312" w:eastAsia="黑体"/>
          <w:b/>
          <w:bCs/>
          <w:sz w:val="32"/>
          <w:szCs w:val="32"/>
        </w:rPr>
      </w:r>
      <w:r/>
    </w:p>
    <w:p>
      <w:pPr>
        <w:jc w:val="center"/>
        <w:rPr>
          <w:rFonts w:ascii="黑体" w:hAnsi="黑体" w:cs="仿宋_GB2312" w:eastAsia="黑体"/>
          <w:b/>
          <w:bCs/>
          <w:sz w:val="32"/>
          <w:szCs w:val="32"/>
        </w:rPr>
      </w:pPr>
      <w:r>
        <w:rPr>
          <w:rFonts w:ascii="黑体" w:hAnsi="黑体" w:cs="仿宋_GB2312" w:eastAsia="黑体"/>
          <w:b/>
          <w:bCs/>
          <w:sz w:val="32"/>
          <w:szCs w:val="32"/>
        </w:rPr>
      </w:r>
      <w:r/>
    </w:p>
    <w:p>
      <w:pPr>
        <w:jc w:val="center"/>
        <w:rPr>
          <w:rFonts w:ascii="黑体" w:hAnsi="黑体" w:cs="仿宋_GB2312" w:eastAsia="黑体"/>
          <w:b/>
          <w:bCs/>
          <w:sz w:val="32"/>
          <w:szCs w:val="32"/>
        </w:rPr>
      </w:pPr>
      <w:r>
        <w:rPr>
          <w:rFonts w:ascii="黑体" w:hAnsi="黑体" w:cs="仿宋_GB2312" w:eastAsia="黑体"/>
          <w:b/>
          <w:bCs/>
          <w:sz w:val="32"/>
          <w:szCs w:val="32"/>
        </w:rPr>
      </w:r>
      <w:r/>
    </w:p>
    <w:p>
      <w:pPr>
        <w:jc w:val="center"/>
        <w:rPr>
          <w:rFonts w:ascii="黑体" w:hAnsi="黑体" w:cs="仿宋_GB2312" w:eastAsia="黑体"/>
          <w:b/>
          <w:bCs/>
          <w:sz w:val="32"/>
          <w:szCs w:val="32"/>
        </w:rPr>
      </w:pPr>
      <w:r>
        <w:rPr>
          <w:rFonts w:ascii="黑体" w:hAnsi="黑体" w:cs="仿宋_GB2312" w:eastAsia="黑体"/>
          <w:b/>
          <w:bCs/>
          <w:sz w:val="32"/>
          <w:szCs w:val="32"/>
        </w:rPr>
      </w:r>
      <w:r/>
    </w:p>
    <w:p>
      <w:pPr>
        <w:jc w:val="center"/>
        <w:rPr>
          <w:rFonts w:ascii="黑体" w:hAnsi="黑体" w:eastAsia="黑体"/>
          <w:b/>
          <w:bCs/>
          <w:sz w:val="32"/>
          <w:szCs w:val="32"/>
        </w:rPr>
      </w:pPr>
      <w:r>
        <w:rPr>
          <w:rFonts w:ascii="黑体" w:hAnsi="黑体" w:cs="仿宋_GB2312" w:eastAsia="黑体" w:hint="eastAsia"/>
          <w:b/>
          <w:bCs/>
          <w:sz w:val="32"/>
          <w:szCs w:val="32"/>
        </w:rPr>
        <w:t xml:space="preserve">第二部分</w:t>
      </w:r>
      <w:r>
        <w:rPr>
          <w:rFonts w:ascii="黑体" w:hAnsi="黑体" w:eastAsia="黑体" w:hint="eastAsia"/>
          <w:b/>
          <w:bCs/>
          <w:sz w:val="32"/>
          <w:szCs w:val="32"/>
        </w:rPr>
        <w:t xml:space="preserve"> 示范中心数据</w:t>
      </w:r>
      <w:r/>
    </w:p>
    <w:p>
      <w:pPr>
        <w:jc w:val="center"/>
        <w:rPr>
          <w:rFonts w:ascii="Times New Roman" w:hAnsi="Times New Roman" w:cs="Times New Roman" w:eastAsia="楷体"/>
          <w:b/>
          <w:bCs/>
          <w:sz w:val="28"/>
          <w:szCs w:val="28"/>
          <w:highlight w:val="yellow"/>
        </w:rPr>
      </w:pPr>
      <w:r>
        <w:rPr>
          <w:rFonts w:ascii="Times New Roman" w:hAnsi="Times New Roman" w:cs="Times New Roman" w:eastAsia="楷体"/>
          <w:b/>
          <w:bCs/>
          <w:sz w:val="28"/>
          <w:szCs w:val="28"/>
        </w:rPr>
        <w:t xml:space="preserve">（</w:t>
      </w:r>
      <w:r>
        <w:rPr>
          <w:rFonts w:ascii="Times New Roman" w:hAnsi="Times New Roman" w:cs="Times New Roman" w:eastAsia="楷体"/>
          <w:sz w:val="28"/>
          <w:szCs w:val="28"/>
        </w:rPr>
        <w:t xml:space="preserve">数据采集时间为</w:t>
      </w:r>
      <w:r>
        <w:rPr>
          <w:rFonts w:ascii="Times New Roman" w:hAnsi="Times New Roman" w:cs="Times New Roman" w:eastAsia="楷体"/>
          <w:sz w:val="28"/>
          <w:szCs w:val="28"/>
        </w:rPr>
        <w:t xml:space="preserve"> 2022</w:t>
      </w:r>
      <w:r>
        <w:rPr>
          <w:rFonts w:ascii="Times New Roman" w:hAnsi="Times New Roman" w:cs="Times New Roman" w:eastAsia="楷体"/>
          <w:sz w:val="28"/>
          <w:szCs w:val="28"/>
        </w:rPr>
        <w:t xml:space="preserve">年</w:t>
      </w:r>
      <w:r>
        <w:rPr>
          <w:rFonts w:ascii="Times New Roman" w:hAnsi="Times New Roman" w:cs="Times New Roman" w:eastAsia="楷体"/>
          <w:sz w:val="28"/>
          <w:szCs w:val="28"/>
        </w:rPr>
        <w:t xml:space="preserve">1</w:t>
      </w:r>
      <w:r>
        <w:rPr>
          <w:rFonts w:ascii="Times New Roman" w:hAnsi="Times New Roman" w:cs="Times New Roman" w:eastAsia="楷体"/>
          <w:sz w:val="28"/>
          <w:szCs w:val="28"/>
        </w:rPr>
        <w:t xml:space="preserve">月</w:t>
      </w:r>
      <w:r>
        <w:rPr>
          <w:rFonts w:ascii="Times New Roman" w:hAnsi="Times New Roman" w:cs="Times New Roman" w:eastAsia="楷体"/>
          <w:sz w:val="28"/>
          <w:szCs w:val="28"/>
        </w:rPr>
        <w:t xml:space="preserve">1</w:t>
      </w:r>
      <w:r>
        <w:rPr>
          <w:rFonts w:ascii="Times New Roman" w:hAnsi="Times New Roman" w:cs="Times New Roman" w:eastAsia="楷体"/>
          <w:sz w:val="28"/>
          <w:szCs w:val="28"/>
        </w:rPr>
        <w:t xml:space="preserve">日至</w:t>
      </w:r>
      <w:r>
        <w:rPr>
          <w:rFonts w:ascii="Times New Roman" w:hAnsi="Times New Roman" w:cs="Times New Roman" w:eastAsia="楷体"/>
          <w:sz w:val="28"/>
          <w:szCs w:val="28"/>
        </w:rPr>
        <w:t xml:space="preserve">12</w:t>
      </w:r>
      <w:r>
        <w:rPr>
          <w:rFonts w:ascii="Times New Roman" w:hAnsi="Times New Roman" w:cs="Times New Roman" w:eastAsia="楷体"/>
          <w:sz w:val="28"/>
          <w:szCs w:val="28"/>
        </w:rPr>
        <w:t xml:space="preserve">月</w:t>
      </w:r>
      <w:r>
        <w:rPr>
          <w:rFonts w:ascii="Times New Roman" w:hAnsi="Times New Roman" w:cs="Times New Roman" w:eastAsia="楷体"/>
          <w:sz w:val="28"/>
          <w:szCs w:val="28"/>
        </w:rPr>
        <w:t xml:space="preserve">31</w:t>
      </w:r>
      <w:r>
        <w:rPr>
          <w:rFonts w:ascii="Times New Roman" w:hAnsi="Times New Roman" w:cs="Times New Roman" w:eastAsia="楷体"/>
          <w:sz w:val="28"/>
          <w:szCs w:val="28"/>
        </w:rPr>
        <w:t xml:space="preserve">日</w:t>
      </w:r>
      <w:r>
        <w:rPr>
          <w:rFonts w:ascii="Times New Roman" w:hAnsi="Times New Roman" w:cs="Times New Roman" w:eastAsia="楷体"/>
          <w:b/>
          <w:bCs/>
          <w:sz w:val="28"/>
          <w:szCs w:val="28"/>
        </w:rPr>
        <w:t xml:space="preserve">）</w:t>
      </w:r>
      <w:r/>
    </w:p>
    <w:p>
      <w:pPr>
        <w:ind w:firstLine="643"/>
        <w:spacing w:after="163" w:before="163"/>
        <w:rPr>
          <w:rFonts w:ascii="黑体" w:hAnsi="黑体" w:eastAsia="黑体"/>
          <w:b/>
          <w:bCs/>
          <w:sz w:val="32"/>
          <w:szCs w:val="32"/>
        </w:rPr>
      </w:pPr>
      <w:r>
        <w:rPr>
          <w:rFonts w:ascii="黑体" w:hAnsi="黑体" w:eastAsia="黑体" w:hint="eastAsia"/>
          <w:b/>
          <w:bCs/>
          <w:sz w:val="32"/>
          <w:szCs w:val="32"/>
        </w:rPr>
        <w:t xml:space="preserve">一、示范中心基本情况</w:t>
      </w:r>
      <w:r/>
    </w:p>
    <w:tbl>
      <w:tblPr>
        <w:tblStyle w:val="406"/>
        <w:tblW w:w="8516" w:type="dxa"/>
        <w:tblLayout w:type="fixed"/>
        <w:tblLook w:val="04A0" w:firstRow="1" w:lastRow="0" w:firstColumn="1" w:lastColumn="0" w:noHBand="0" w:noVBand="1"/>
      </w:tblPr>
      <w:tblGrid>
        <w:gridCol w:w="1101"/>
        <w:gridCol w:w="1414"/>
        <w:gridCol w:w="617"/>
        <w:gridCol w:w="802"/>
        <w:gridCol w:w="281"/>
        <w:gridCol w:w="1461"/>
        <w:gridCol w:w="669"/>
        <w:gridCol w:w="751"/>
        <w:gridCol w:w="1420"/>
      </w:tblGrid>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示范中心名称</w:t>
            </w:r>
            <w:r/>
          </w:p>
        </w:tc>
        <w:tc>
          <w:tcPr>
            <w:gridSpan w:val="7"/>
            <w:tcW w:w="6001" w:type="dxa"/>
            <w:textDirection w:val="lrTb"/>
            <w:noWrap w:val="false"/>
          </w:tcPr>
          <w:p>
            <w:pPr>
              <w:rPr>
                <w:rFonts w:ascii="黑体" w:hAnsi="黑体" w:eastAsia="黑体"/>
                <w:b/>
                <w:bCs/>
                <w:sz w:val="28"/>
                <w:szCs w:val="28"/>
              </w:rPr>
            </w:pPr>
            <w:r>
              <w:rPr>
                <w:rFonts w:hint="eastAsia"/>
                <w:b/>
                <w:bCs/>
                <w:sz w:val="28"/>
                <w:szCs w:val="28"/>
              </w:rPr>
              <w:t xml:space="preserve">药学实验教学示范中心</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所在学校名称</w:t>
            </w:r>
            <w:r/>
          </w:p>
        </w:tc>
        <w:tc>
          <w:tcPr>
            <w:gridSpan w:val="7"/>
            <w:tcW w:w="6001" w:type="dxa"/>
            <w:textDirection w:val="lrTb"/>
            <w:noWrap w:val="false"/>
          </w:tcPr>
          <w:p>
            <w:pPr>
              <w:rPr>
                <w:rFonts w:ascii="黑体" w:hAnsi="黑体" w:eastAsia="黑体"/>
                <w:b/>
                <w:bCs/>
                <w:sz w:val="28"/>
                <w:szCs w:val="28"/>
              </w:rPr>
            </w:pPr>
            <w:r>
              <w:rPr>
                <w:rFonts w:hint="eastAsia"/>
                <w:b/>
                <w:bCs/>
                <w:sz w:val="28"/>
                <w:szCs w:val="28"/>
              </w:rPr>
              <w:t xml:space="preserve">重庆医科大学</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主管部门名称</w:t>
            </w:r>
            <w:r/>
          </w:p>
        </w:tc>
        <w:tc>
          <w:tcPr>
            <w:gridSpan w:val="7"/>
            <w:tcW w:w="6001" w:type="dxa"/>
            <w:textDirection w:val="lrTb"/>
            <w:noWrap w:val="false"/>
          </w:tcPr>
          <w:p>
            <w:pPr>
              <w:rPr>
                <w:rFonts w:ascii="黑体" w:hAnsi="黑体" w:eastAsia="黑体"/>
                <w:b/>
                <w:bCs/>
                <w:sz w:val="28"/>
                <w:szCs w:val="28"/>
              </w:rPr>
            </w:pPr>
            <w:r>
              <w:rPr>
                <w:rFonts w:hint="eastAsia"/>
                <w:b/>
                <w:bCs/>
                <w:sz w:val="28"/>
                <w:szCs w:val="28"/>
              </w:rPr>
              <w:t xml:space="preserve">教务处</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示范中心门户网址</w:t>
            </w:r>
            <w:r/>
          </w:p>
        </w:tc>
        <w:tc>
          <w:tcPr>
            <w:gridSpan w:val="7"/>
            <w:tcW w:w="6001" w:type="dxa"/>
            <w:textDirection w:val="lrTb"/>
            <w:noWrap w:val="false"/>
          </w:tcPr>
          <w:p>
            <w:pPr>
              <w:rPr>
                <w:rFonts w:ascii="仿宋" w:hAnsi="仿宋" w:eastAsia="仿宋"/>
              </w:rPr>
            </w:pPr>
            <w:r>
              <w:rPr>
                <w:rFonts w:ascii="Times New Roman" w:hAnsi="Times New Roman" w:eastAsia="仿宋"/>
                <w:sz w:val="28"/>
                <w:szCs w:val="28"/>
              </w:rPr>
              <w:t xml:space="preserve">http://yxsyzx.cqmu.edu.cn</w:t>
            </w:r>
            <w:r>
              <w:rPr>
                <w:rFonts w:ascii="仿宋" w:hAnsi="仿宋" w:eastAsia="仿宋" w:hint="eastAsia"/>
              </w:rPr>
              <w:t xml:space="preserve"> </w:t>
            </w:r>
            <w:r/>
          </w:p>
          <w:p>
            <w:pPr>
              <w:rPr>
                <w:rFonts w:ascii="黑体" w:hAnsi="黑体" w:eastAsia="黑体"/>
                <w:bCs/>
                <w:sz w:val="28"/>
                <w:szCs w:val="28"/>
              </w:rPr>
            </w:pPr>
            <w:r>
              <w:rPr>
                <w:rFonts w:ascii="Times New Roman" w:hAnsi="Times New Roman" w:eastAsia="仿宋" w:hint="eastAsia"/>
                <w:sz w:val="28"/>
                <w:szCs w:val="28"/>
              </w:rPr>
              <w:t xml:space="preserve">https://yxy.cqmu.edu.cn/</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示范中心详细地址</w:t>
            </w:r>
            <w:r/>
          </w:p>
        </w:tc>
        <w:tc>
          <w:tcPr>
            <w:gridSpan w:val="4"/>
            <w:tcW w:w="3161" w:type="dxa"/>
            <w:textDirection w:val="lrTb"/>
            <w:noWrap w:val="false"/>
          </w:tcPr>
          <w:p>
            <w:pPr>
              <w:rPr>
                <w:rFonts w:ascii="黑体" w:hAnsi="黑体" w:eastAsia="黑体"/>
                <w:bCs/>
                <w:sz w:val="28"/>
                <w:szCs w:val="28"/>
              </w:rPr>
            </w:pPr>
            <w:r>
              <w:rPr>
                <w:rFonts w:ascii="黑体" w:hAnsi="黑体" w:eastAsia="黑体"/>
                <w:bCs/>
                <w:sz w:val="28"/>
                <w:szCs w:val="28"/>
              </w:rPr>
              <w:t xml:space="preserve">缙云校区求实楼</w:t>
            </w:r>
            <w:r/>
          </w:p>
        </w:tc>
        <w:tc>
          <w:tcPr>
            <w:gridSpan w:val="2"/>
            <w:tcW w:w="1420"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邮政编码</w:t>
            </w:r>
            <w:r/>
          </w:p>
        </w:tc>
        <w:tc>
          <w:tcPr>
            <w:tcW w:w="1420" w:type="dxa"/>
            <w:vAlign w:val="center"/>
            <w:textDirection w:val="lrTb"/>
            <w:noWrap w:val="false"/>
          </w:tcPr>
          <w:p>
            <w:pPr>
              <w:jc w:val="center"/>
              <w:rPr>
                <w:rFonts w:ascii="黑体" w:hAnsi="黑体" w:eastAsia="黑体"/>
                <w:bCs/>
                <w:sz w:val="28"/>
                <w:szCs w:val="28"/>
              </w:rPr>
            </w:pPr>
            <w:r>
              <w:rPr>
                <w:rFonts w:ascii="Times New Roman" w:hAnsi="Times New Roman" w:eastAsia="仿宋" w:hint="eastAsia"/>
                <w:bCs/>
              </w:rPr>
              <w:t xml:space="preserve">401331</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固定资产情况</w:t>
            </w:r>
            <w:r/>
          </w:p>
        </w:tc>
        <w:tc>
          <w:tcPr>
            <w:gridSpan w:val="7"/>
            <w:tcW w:w="6001" w:type="dxa"/>
            <w:textDirection w:val="lrTb"/>
            <w:noWrap w:val="false"/>
          </w:tcPr>
          <w:p>
            <w:pPr>
              <w:rPr>
                <w:rFonts w:ascii="黑体" w:hAnsi="黑体" w:eastAsia="黑体"/>
                <w:bCs/>
                <w:sz w:val="28"/>
                <w:szCs w:val="28"/>
              </w:rPr>
            </w:pPr>
            <w:r>
              <w:rPr>
                <w:rFonts w:ascii="黑体" w:hAnsi="黑体" w:eastAsia="黑体"/>
                <w:bCs/>
                <w:sz w:val="28"/>
                <w:szCs w:val="28"/>
              </w:rPr>
            </w:r>
            <w:r/>
          </w:p>
        </w:tc>
      </w:tr>
      <w:tr>
        <w:trPr/>
        <w:tc>
          <w:tcPr>
            <w:tcW w:w="1101" w:type="dxa"/>
            <w:textDirection w:val="lrTb"/>
            <w:noWrap w:val="false"/>
          </w:tcPr>
          <w:p>
            <w:pPr>
              <w:rPr>
                <w:rFonts w:ascii="黑体" w:hAnsi="黑体" w:eastAsia="黑体"/>
                <w:bCs/>
                <w:sz w:val="28"/>
                <w:szCs w:val="28"/>
              </w:rPr>
            </w:pPr>
            <w:r>
              <w:rPr>
                <w:rFonts w:ascii="黑体" w:hAnsi="黑体" w:eastAsia="黑体" w:hint="eastAsia"/>
                <w:bCs/>
                <w:sz w:val="28"/>
                <w:szCs w:val="28"/>
              </w:rPr>
              <w:t xml:space="preserve">建筑</w:t>
            </w:r>
            <w:r/>
          </w:p>
          <w:p>
            <w:pPr>
              <w:rPr>
                <w:rFonts w:ascii="黑体" w:hAnsi="黑体" w:eastAsia="黑体"/>
                <w:bCs/>
                <w:sz w:val="28"/>
                <w:szCs w:val="28"/>
              </w:rPr>
            </w:pPr>
            <w:r>
              <w:rPr>
                <w:rFonts w:ascii="黑体" w:hAnsi="黑体" w:eastAsia="黑体" w:hint="eastAsia"/>
                <w:bCs/>
                <w:sz w:val="28"/>
                <w:szCs w:val="28"/>
              </w:rPr>
              <w:t xml:space="preserve">面积</w:t>
            </w:r>
            <w:r/>
          </w:p>
        </w:tc>
        <w:tc>
          <w:tcPr>
            <w:tcW w:w="1414" w:type="dxa"/>
            <w:textDirection w:val="lrTb"/>
            <w:noWrap w:val="false"/>
          </w:tcPr>
          <w:p>
            <w:pPr>
              <w:jc w:val="center"/>
              <w:rPr>
                <w:rFonts w:ascii="楷体" w:hAnsi="楷体" w:eastAsia="楷体"/>
                <w:bCs/>
                <w:sz w:val="28"/>
                <w:szCs w:val="28"/>
              </w:rPr>
            </w:pPr>
            <w:r>
              <w:rPr>
                <w:rFonts w:ascii="黑体" w:hAnsi="黑体" w:eastAsia="黑体" w:hint="eastAsia"/>
                <w:bCs/>
                <w:sz w:val="28"/>
                <w:szCs w:val="28"/>
              </w:rPr>
              <w:t xml:space="preserve">4461 </w:t>
            </w:r>
            <w:r>
              <w:rPr>
                <w:rFonts w:ascii="楷体" w:hAnsi="楷体" w:eastAsia="楷体" w:hint="eastAsia"/>
                <w:bCs/>
                <w:sz w:val="28"/>
                <w:szCs w:val="28"/>
              </w:rPr>
              <w:t xml:space="preserve">㎡</w:t>
            </w:r>
            <w:r/>
          </w:p>
        </w:tc>
        <w:tc>
          <w:tcPr>
            <w:gridSpan w:val="2"/>
            <w:tcW w:w="1419"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设备总值</w:t>
            </w:r>
            <w:r/>
          </w:p>
        </w:tc>
        <w:tc>
          <w:tcPr>
            <w:gridSpan w:val="2"/>
            <w:tcW w:w="1742" w:type="dxa"/>
            <w:textDirection w:val="lrTb"/>
            <w:noWrap w:val="false"/>
          </w:tcPr>
          <w:p>
            <w:pPr>
              <w:jc w:val="center"/>
              <w:rPr>
                <w:rFonts w:ascii="楷体" w:hAnsi="楷体" w:eastAsia="楷体"/>
                <w:bCs/>
                <w:sz w:val="28"/>
                <w:szCs w:val="28"/>
              </w:rPr>
            </w:pPr>
            <w:r>
              <w:rPr>
                <w:rFonts w:ascii="黑体" w:hAnsi="黑体" w:eastAsia="黑体" w:hint="eastAsia"/>
                <w:bCs/>
                <w:sz w:val="28"/>
                <w:szCs w:val="28"/>
              </w:rPr>
              <w:t xml:space="preserve">6665 </w:t>
            </w:r>
            <w:r>
              <w:rPr>
                <w:rFonts w:ascii="楷体" w:hAnsi="楷体" w:eastAsia="楷体" w:hint="eastAsia"/>
                <w:bCs/>
                <w:sz w:val="28"/>
                <w:szCs w:val="28"/>
              </w:rPr>
              <w:t xml:space="preserve">万元</w:t>
            </w:r>
            <w:r/>
          </w:p>
        </w:tc>
        <w:tc>
          <w:tcPr>
            <w:gridSpan w:val="2"/>
            <w:tcW w:w="1420"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设备台数</w:t>
            </w:r>
            <w:r/>
          </w:p>
        </w:tc>
        <w:tc>
          <w:tcPr>
            <w:tcW w:w="1420" w:type="dxa"/>
            <w:textDirection w:val="lrTb"/>
            <w:noWrap w:val="false"/>
          </w:tcPr>
          <w:p>
            <w:pPr>
              <w:jc w:val="center"/>
              <w:rPr>
                <w:rFonts w:ascii="楷体" w:hAnsi="楷体" w:eastAsia="楷体"/>
                <w:bCs/>
                <w:sz w:val="28"/>
                <w:szCs w:val="28"/>
              </w:rPr>
            </w:pPr>
            <w:r>
              <w:rPr>
                <w:rFonts w:ascii="楷体" w:hAnsi="楷体" w:eastAsia="楷体" w:hint="eastAsia"/>
                <w:bCs/>
                <w:sz w:val="28"/>
                <w:szCs w:val="28"/>
              </w:rPr>
              <w:t xml:space="preserve">2459台</w:t>
            </w:r>
            <w:r/>
          </w:p>
        </w:tc>
      </w:tr>
      <w:tr>
        <w:trPr/>
        <w:tc>
          <w:tcPr>
            <w:gridSpan w:val="2"/>
            <w:tcW w:w="2515" w:type="dxa"/>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经费投入情况</w:t>
            </w:r>
            <w:r/>
          </w:p>
        </w:tc>
        <w:tc>
          <w:tcPr>
            <w:gridSpan w:val="7"/>
            <w:tcW w:w="6001" w:type="dxa"/>
            <w:vAlign w:val="center"/>
            <w:textDirection w:val="lrTb"/>
            <w:noWrap w:val="false"/>
          </w:tcPr>
          <w:p>
            <w:pPr>
              <w:jc w:val="center"/>
              <w:rPr>
                <w:rFonts w:ascii="黑体" w:hAnsi="黑体" w:eastAsia="黑体"/>
                <w:bCs/>
                <w:sz w:val="28"/>
                <w:szCs w:val="28"/>
              </w:rPr>
            </w:pPr>
            <w:r>
              <w:rPr>
                <w:rFonts w:ascii="宋体" w:hAnsi="宋体" w:cs="宋体" w:eastAsia="宋体"/>
                <w:b/>
                <w:bCs/>
              </w:rPr>
              <w:t xml:space="preserve">课程建设经费</w:t>
            </w:r>
            <w:r>
              <w:rPr>
                <w:rFonts w:ascii="宋体" w:hAnsi="宋体" w:cs="宋体" w:eastAsia="宋体" w:hint="eastAsia"/>
                <w:b/>
                <w:bCs/>
              </w:rPr>
              <w:t xml:space="preserve">46万、</w:t>
            </w:r>
            <w:r>
              <w:rPr>
                <w:rFonts w:ascii="宋体" w:hAnsi="宋体" w:cs="宋体" w:eastAsia="宋体"/>
                <w:b/>
                <w:bCs/>
              </w:rPr>
              <w:t xml:space="preserve">仪器设备投入</w:t>
            </w:r>
            <w:r>
              <w:rPr>
                <w:rFonts w:ascii="宋体" w:hAnsi="宋体" w:cs="宋体" w:eastAsia="宋体" w:hint="eastAsia"/>
                <w:b/>
                <w:bCs/>
              </w:rPr>
              <w:t xml:space="preserve">457万</w:t>
            </w:r>
            <w:r/>
          </w:p>
        </w:tc>
      </w:tr>
      <w:tr>
        <w:trPr/>
        <w:tc>
          <w:tcPr>
            <w:gridSpan w:val="3"/>
            <w:tcBorders>
              <w:right w:val="single" w:sz="4" w:space="0" w:color="auto"/>
            </w:tcBorders>
            <w:tcW w:w="3132" w:type="dxa"/>
            <w:vAlign w:val="center"/>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主管部门年度经费投入</w:t>
            </w:r>
            <w:r/>
          </w:p>
          <w:p>
            <w:pPr>
              <w:jc w:val="center"/>
              <w:rPr>
                <w:rFonts w:ascii="楷体" w:hAnsi="楷体" w:eastAsia="楷体"/>
                <w:bCs/>
              </w:rPr>
            </w:pPr>
            <w:r>
              <w:rPr>
                <w:rFonts w:ascii="楷体" w:hAnsi="楷体" w:eastAsia="楷体" w:hint="eastAsia"/>
                <w:bCs/>
              </w:rPr>
              <w:t xml:space="preserve">（直属高校不填）</w:t>
            </w:r>
            <w:r/>
          </w:p>
        </w:tc>
        <w:tc>
          <w:tcPr>
            <w:gridSpan w:val="2"/>
            <w:tcBorders>
              <w:left w:val="single" w:sz="4" w:space="0" w:color="auto"/>
            </w:tcBorders>
            <w:tcW w:w="1083" w:type="dxa"/>
            <w:vAlign w:val="center"/>
            <w:textDirection w:val="lrTb"/>
            <w:noWrap w:val="false"/>
          </w:tcPr>
          <w:p>
            <w:pPr>
              <w:ind w:firstLine="274"/>
              <w:jc w:val="center"/>
              <w:rPr>
                <w:rFonts w:ascii="楷体" w:hAnsi="楷体" w:eastAsia="楷体"/>
                <w:bCs/>
                <w:sz w:val="28"/>
                <w:szCs w:val="28"/>
              </w:rPr>
            </w:pPr>
            <w:r>
              <w:rPr>
                <w:rFonts w:ascii="楷体" w:hAnsi="楷体" w:eastAsia="楷体" w:hint="eastAsia"/>
                <w:bCs/>
                <w:sz w:val="28"/>
                <w:szCs w:val="28"/>
              </w:rPr>
              <w:t xml:space="preserve">万元</w:t>
            </w:r>
            <w:r/>
          </w:p>
        </w:tc>
        <w:tc>
          <w:tcPr>
            <w:gridSpan w:val="2"/>
            <w:tcW w:w="2130" w:type="dxa"/>
            <w:vAlign w:val="center"/>
            <w:textDirection w:val="lrTb"/>
            <w:noWrap w:val="false"/>
          </w:tcPr>
          <w:p>
            <w:pPr>
              <w:jc w:val="center"/>
              <w:rPr>
                <w:rFonts w:ascii="黑体" w:hAnsi="黑体" w:eastAsia="黑体"/>
                <w:bCs/>
                <w:sz w:val="28"/>
                <w:szCs w:val="28"/>
              </w:rPr>
            </w:pPr>
            <w:r>
              <w:rPr>
                <w:rFonts w:ascii="黑体" w:hAnsi="黑体" w:eastAsia="黑体" w:hint="eastAsia"/>
                <w:bCs/>
                <w:sz w:val="28"/>
                <w:szCs w:val="28"/>
              </w:rPr>
              <w:t xml:space="preserve">所在学校年度经费投入</w:t>
            </w:r>
            <w:r/>
          </w:p>
        </w:tc>
        <w:tc>
          <w:tcPr>
            <w:gridSpan w:val="2"/>
            <w:tcW w:w="2171" w:type="dxa"/>
            <w:vAlign w:val="center"/>
            <w:textDirection w:val="lrTb"/>
            <w:noWrap w:val="false"/>
          </w:tcPr>
          <w:p>
            <w:pPr>
              <w:rPr>
                <w:rFonts w:ascii="楷体" w:hAnsi="楷体" w:eastAsia="楷体"/>
                <w:bCs/>
                <w:sz w:val="28"/>
                <w:szCs w:val="28"/>
              </w:rPr>
            </w:pPr>
            <w:r>
              <w:rPr>
                <w:rFonts w:ascii="楷体" w:hAnsi="楷体" w:eastAsia="楷体" w:hint="eastAsia"/>
                <w:bCs/>
                <w:sz w:val="28"/>
                <w:szCs w:val="28"/>
              </w:rPr>
              <w:t xml:space="preserve">503万元</w:t>
            </w:r>
            <w:r/>
          </w:p>
        </w:tc>
      </w:tr>
    </w:tbl>
    <w:p>
      <w:pPr>
        <w:ind w:firstLine="470"/>
        <w:rPr>
          <w:rFonts w:ascii="黑体" w:hAnsi="黑体" w:cs="仿宋_GB2312" w:eastAsia="黑体"/>
          <w:b/>
          <w:bCs/>
          <w:sz w:val="32"/>
          <w:szCs w:val="32"/>
        </w:rPr>
      </w:pPr>
      <w:r>
        <w:rPr>
          <w:rFonts w:ascii="楷体" w:hAnsi="楷体" w:eastAsia="楷体" w:hint="eastAsia"/>
          <w:bCs/>
        </w:rPr>
        <w:t xml:space="preserve">注：（1）表中所有名称都必须填写全称。（2）主管部门：所在学校的上级主管部门，可查询教育部发展规划司全国高等学校名单。</w:t>
      </w:r>
      <w:r/>
    </w:p>
    <w:p>
      <w:pPr>
        <w:ind w:firstLine="630"/>
        <w:spacing w:before="163"/>
        <w:rPr>
          <w:rFonts w:ascii="黑体" w:hAnsi="黑体" w:cs="仿宋_GB2312" w:eastAsia="黑体"/>
          <w:b/>
          <w:bCs/>
          <w:sz w:val="32"/>
          <w:szCs w:val="32"/>
        </w:rPr>
      </w:pPr>
      <w:r>
        <w:rPr>
          <w:rFonts w:ascii="黑体" w:hAnsi="黑体" w:cs="仿宋_GB2312" w:eastAsia="黑体"/>
          <w:b/>
          <w:bCs/>
          <w:sz w:val="32"/>
          <w:szCs w:val="32"/>
        </w:rPr>
      </w:r>
      <w:r/>
    </w:p>
    <w:p>
      <w:pPr>
        <w:ind w:firstLine="630"/>
        <w:spacing w:before="163"/>
        <w:rPr>
          <w:rFonts w:ascii="黑体" w:hAnsi="黑体" w:cs="仿宋_GB2312" w:eastAsia="黑体"/>
          <w:b/>
          <w:bCs/>
          <w:sz w:val="32"/>
          <w:szCs w:val="32"/>
        </w:rPr>
      </w:pPr>
      <w:r>
        <w:rPr>
          <w:rFonts w:ascii="黑体" w:hAnsi="黑体" w:cs="仿宋_GB2312" w:eastAsia="黑体" w:hint="eastAsia"/>
          <w:b/>
          <w:bCs/>
          <w:sz w:val="32"/>
          <w:szCs w:val="32"/>
        </w:rPr>
        <w:t xml:space="preserve">二、人才队伍基本情况</w:t>
      </w:r>
      <w:r/>
    </w:p>
    <w:p>
      <w:pPr>
        <w:ind w:firstLine="560"/>
        <w:spacing w:after="163" w:before="163"/>
        <w:rPr>
          <w:rFonts w:ascii="黑体" w:hAnsi="黑体" w:cs="仿宋_GB2312" w:eastAsia="黑体"/>
          <w:bCs/>
          <w:color w:val="000000"/>
          <w:sz w:val="28"/>
          <w:szCs w:val="28"/>
        </w:rPr>
      </w:pPr>
      <w:r/>
      <w:bookmarkStart w:id="107" w:name="本年度固定人员"/>
      <w:r/>
      <w:bookmarkEnd w:id="107"/>
      <w:r>
        <w:rPr>
          <w:rFonts w:ascii="黑体" w:hAnsi="黑体" w:eastAsia="黑体" w:hint="eastAsia"/>
          <w:bCs/>
          <w:color w:val="000000" w:themeColor="text1"/>
          <w:sz w:val="28"/>
          <w:szCs w:val="28"/>
        </w:rPr>
        <w:t xml:space="preserve">（一）本年度</w:t>
      </w:r>
      <w:r>
        <w:rPr>
          <w:rFonts w:ascii="黑体" w:hAnsi="黑体" w:cs="仿宋_GB2312" w:eastAsia="黑体" w:hint="eastAsia"/>
          <w:bCs/>
          <w:color w:val="000000" w:themeColor="text1"/>
          <w:sz w:val="28"/>
          <w:szCs w:val="28"/>
        </w:rPr>
        <w:t xml:space="preserve">固定人员情况</w:t>
      </w:r>
      <w:r/>
    </w:p>
    <w:tbl>
      <w:tblPr>
        <w:tblW w:w="8364" w:type="dxa"/>
        <w:tblInd w:w="108" w:type="dxa"/>
        <w:tblBorders>
          <w:left w:val="single" w:sz="12" w:space="0" w:color="auto"/>
          <w:top w:val="single" w:sz="12" w:space="0" w:color="auto"/>
          <w:right w:val="single" w:sz="12" w:space="0" w:color="auto"/>
          <w:insideV w:val="single" w:sz="6" w:space="0" w:color="auto"/>
          <w:insideH w:val="single" w:sz="6" w:space="0" w:color="auto"/>
        </w:tblBorders>
        <w:tblLayout w:type="fixed"/>
        <w:tblLook w:val="04A0" w:firstRow="1" w:lastRow="0" w:firstColumn="1" w:lastColumn="0" w:noHBand="0" w:noVBand="1"/>
      </w:tblPr>
      <w:tblGrid>
        <w:gridCol w:w="567"/>
        <w:gridCol w:w="993"/>
        <w:gridCol w:w="567"/>
        <w:gridCol w:w="992"/>
        <w:gridCol w:w="1326"/>
        <w:gridCol w:w="891"/>
        <w:gridCol w:w="1185"/>
        <w:gridCol w:w="850"/>
        <w:gridCol w:w="993"/>
      </w:tblGrid>
      <w:tr>
        <w:trPr>
          <w:trHeight w:val="606"/>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序号</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姓名</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性别</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出生年份</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职称</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职务</w:t>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工作性质</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学位</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黑体"/>
              </w:rPr>
            </w:pPr>
            <w:r>
              <w:rPr>
                <w:rFonts w:ascii="Times New Roman" w:hAnsi="Times New Roman" w:cs="Times New Roman" w:eastAsia="黑体"/>
              </w:rPr>
              <w:t xml:space="preserve">备注</w:t>
            </w:r>
            <w:r/>
          </w:p>
        </w:tc>
      </w:tr>
      <w:tr>
        <w:trPr>
          <w:trHeight w:val="432"/>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于超</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196309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主任</w:t>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管理</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w:t>
            </w:r>
            <w:r>
              <w:rPr>
                <w:rFonts w:ascii="Times New Roman" w:hAnsi="Times New Roman" w:cs="Times New Roman"/>
                <w:sz w:val="21"/>
                <w:szCs w:val="21"/>
              </w:rPr>
              <w:t xml:space="preserve">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尚京川</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196106</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副主任</w:t>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rPr>
                <w:rFonts w:ascii="Times New Roman" w:hAnsi="Times New Roman" w:cs="Times New Roman"/>
                <w:sz w:val="21"/>
                <w:szCs w:val="21"/>
              </w:rPr>
              <w:t xml:space="preserve">/</w:t>
            </w:r>
            <w:r>
              <w:rPr>
                <w:rFonts w:ascii="Times New Roman" w:hAnsi="Times New Roman" w:cs="Times New Roman"/>
                <w:sz w:val="21"/>
                <w:szCs w:val="21"/>
              </w:rPr>
              <w:t xml:space="preserve">管理</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学士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余瑜</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196001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陈志琼</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196912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邓萍</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197706</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highlight w:val="yellow"/>
              </w:rPr>
            </w:pPr>
            <w:r>
              <w:rPr>
                <w:rFonts w:ascii="Times New Roman" w:hAnsi="Times New Roman" w:cs="Times New Roman"/>
                <w:sz w:val="21"/>
                <w:szCs w:val="21"/>
              </w:rPr>
              <w:t xml:space="preserve">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冯涛</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highlight w:val="yellow"/>
              </w:rPr>
            </w:pPr>
            <w:r>
              <w:rPr>
                <w:rFonts w:ascii="Times New Roman" w:hAnsi="Times New Roman" w:cs="Times New Roman"/>
                <w:sz w:val="21"/>
                <w:szCs w:val="21"/>
              </w:rPr>
              <w:t xml:space="preserve">196307</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eastAsia="仿宋"/>
                <w:sz w:val="21"/>
                <w:szCs w:val="21"/>
                <w:highlight w:val="yellow"/>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何丹</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197706</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胡湘南</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196210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胡雪原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197111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蒋启华</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197309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蒋心惠</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197111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靳红卫</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196401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学士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梁国娟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陆巍</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商素琴</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孙立力</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王杰</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徐启贵</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197401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19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周丽平</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张淑蓉</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196603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张永红</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197908</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赵旭东</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196903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highlight w:val="yellow"/>
              </w:rPr>
            </w:pPr>
            <w:r>
              <w:rPr>
                <w:rFonts w:ascii="Times New Roman" w:hAnsi="Times New Roman" w:cs="Times New Roman"/>
                <w:sz w:val="21"/>
                <w:szCs w:val="21"/>
              </w:rPr>
              <w:t xml:space="preserve">23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周维英</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197802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eastAsia="仿宋"/>
                <w:sz w:val="21"/>
                <w:szCs w:val="21"/>
                <w:highlight w:val="yellow"/>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highlight w:val="yellow"/>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杨俊卿</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196907</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刘颖菊</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196305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蒋青松</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董</w:t>
            </w:r>
            <w:r>
              <w:rPr>
                <w:rFonts w:ascii="Times New Roman" w:hAnsi="Times New Roman" w:cs="Times New Roman"/>
                <w:sz w:val="21"/>
                <w:szCs w:val="21"/>
              </w:rPr>
              <w:t xml:space="preserve">  </w:t>
            </w:r>
            <w:r>
              <w:rPr>
                <w:rFonts w:ascii="Times New Roman" w:hAnsi="Times New Roman" w:cs="Times New Roman"/>
                <w:sz w:val="21"/>
                <w:szCs w:val="21"/>
              </w:rPr>
              <w:t xml:space="preserve">志</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196209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张景勍</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197309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29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甘宗捷</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198511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陈蓉春</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196403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学士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胡继伟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副研究员</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唐</w:t>
            </w:r>
            <w:r>
              <w:rPr>
                <w:rFonts w:ascii="Times New Roman" w:hAnsi="Times New Roman" w:cs="Times New Roman"/>
                <w:sz w:val="21"/>
                <w:szCs w:val="21"/>
              </w:rPr>
              <w:t xml:space="preserve">  </w:t>
            </w:r>
            <w:r>
              <w:rPr>
                <w:rFonts w:ascii="Times New Roman" w:hAnsi="Times New Roman" w:cs="Times New Roman"/>
                <w:sz w:val="21"/>
                <w:szCs w:val="21"/>
              </w:rPr>
              <w:t xml:space="preserve">强</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197408</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蒋文高</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白丽娟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198603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陈华黎</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198504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况</w:t>
            </w:r>
            <w:r>
              <w:rPr>
                <w:rFonts w:ascii="Times New Roman" w:hAnsi="Times New Roman" w:cs="Times New Roman"/>
                <w:sz w:val="21"/>
                <w:szCs w:val="21"/>
              </w:rPr>
              <w:t xml:space="preserve">  </w:t>
            </w:r>
            <w:r>
              <w:rPr>
                <w:rFonts w:ascii="Times New Roman" w:hAnsi="Times New Roman" w:cs="Times New Roman"/>
                <w:sz w:val="21"/>
                <w:szCs w:val="21"/>
              </w:rPr>
              <w:t xml:space="preserve">舸</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白</w:t>
            </w:r>
            <w:r>
              <w:rPr>
                <w:rFonts w:ascii="Times New Roman" w:hAnsi="Times New Roman" w:cs="Times New Roman"/>
                <w:sz w:val="21"/>
                <w:szCs w:val="21"/>
              </w:rPr>
              <w:t xml:space="preserve">  </w:t>
            </w:r>
            <w:r>
              <w:rPr>
                <w:rFonts w:ascii="Times New Roman" w:hAnsi="Times New Roman" w:cs="Times New Roman"/>
                <w:sz w:val="21"/>
                <w:szCs w:val="21"/>
              </w:rPr>
              <w:t xml:space="preserve">燕</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198512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张</w:t>
            </w:r>
            <w:r>
              <w:rPr>
                <w:rFonts w:ascii="Times New Roman" w:hAnsi="Times New Roman" w:cs="Times New Roman"/>
                <w:sz w:val="21"/>
                <w:szCs w:val="21"/>
              </w:rPr>
              <w:t xml:space="preserve">  </w:t>
            </w:r>
            <w:r>
              <w:rPr>
                <w:rFonts w:ascii="Times New Roman" w:hAnsi="Times New Roman" w:cs="Times New Roman"/>
                <w:sz w:val="21"/>
                <w:szCs w:val="21"/>
              </w:rPr>
              <w:t xml:space="preserve">普</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198705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39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尹华峰</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197604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陈永洁</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198711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周</w:t>
            </w:r>
            <w:r>
              <w:rPr>
                <w:rFonts w:ascii="Times New Roman" w:hAnsi="Times New Roman" w:cs="Times New Roman"/>
                <w:sz w:val="21"/>
                <w:szCs w:val="21"/>
              </w:rPr>
              <w:t xml:space="preserve"> </w:t>
            </w:r>
            <w:r>
              <w:rPr>
                <w:rFonts w:ascii="Times New Roman" w:hAnsi="Times New Roman" w:cs="Times New Roman"/>
                <w:sz w:val="21"/>
                <w:szCs w:val="21"/>
              </w:rPr>
              <w:t xml:space="preserve">静</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198804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刘</w:t>
            </w:r>
            <w:r>
              <w:rPr>
                <w:rFonts w:ascii="Times New Roman" w:hAnsi="Times New Roman" w:cs="Times New Roman"/>
                <w:sz w:val="21"/>
                <w:szCs w:val="21"/>
              </w:rPr>
              <w:t xml:space="preserve">  </w:t>
            </w:r>
            <w:r>
              <w:rPr>
                <w:rFonts w:ascii="Times New Roman" w:hAnsi="Times New Roman" w:cs="Times New Roman"/>
                <w:sz w:val="21"/>
                <w:szCs w:val="21"/>
              </w:rPr>
              <w:t xml:space="preserve">颜</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198011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袁</w:t>
            </w:r>
            <w:r>
              <w:rPr>
                <w:rFonts w:ascii="Times New Roman" w:hAnsi="Times New Roman" w:cs="Times New Roman"/>
                <w:sz w:val="21"/>
                <w:szCs w:val="21"/>
              </w:rPr>
              <w:t xml:space="preserve">  </w:t>
            </w:r>
            <w:r>
              <w:rPr>
                <w:rFonts w:ascii="Times New Roman" w:hAnsi="Times New Roman" w:cs="Times New Roman"/>
                <w:sz w:val="21"/>
                <w:szCs w:val="21"/>
              </w:rPr>
              <w:t xml:space="preserve">佩</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197104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何百成</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197405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张良珂</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197206</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母昭德</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196611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赵华</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196502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sz w:val="22"/>
                <w:szCs w:val="22"/>
              </w:rPr>
              <w:t xml:space="preserve">于秀峰</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198801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49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万敬员</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杨俊霞</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袁建勇</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196911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李雁武</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197210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黄家君</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196405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周辉</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198209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李伟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197109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王红</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196902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孙文娟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196108</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吴柯</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197802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59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罗映</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197704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邱红梅</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197802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彭咏波</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198212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研究员</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研究</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color w:val="000000" w:themeColor="text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李小丽</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198805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王婷婷</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199011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副研究员</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邓涛</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198903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副研究员</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刘倩</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198511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FF0000"/>
                <w:sz w:val="21"/>
                <w:szCs w:val="21"/>
              </w:rPr>
            </w:pPr>
            <w:r>
              <w:rPr>
                <w:rFonts w:ascii="Times New Roman" w:hAnsi="Times New Roman" w:cs="Times New Roman" w:eastAsia="仿宋"/>
                <w:color w:val="FF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辜鹏程</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198310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高级实验师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sz w:val="21"/>
                <w:szCs w:val="21"/>
              </w:rPr>
              <w:t xml:space="preserve">67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朱姝</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198507</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68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王以武</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198012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高级实验师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69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马廉举</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197808</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高级实验师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70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黄开顺</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71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田睿</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197512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高级实验师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72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甘勇军</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197607</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实验师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技术</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张正伟</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198908</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tbl>
            <w:tblPr>
              <w:tblW w:w="1096" w:type="dxa"/>
              <w:tblLayout w:type="fixed"/>
              <w:tblLook w:val="04A0" w:firstRow="1" w:lastRow="0" w:firstColumn="1" w:lastColumn="0" w:noHBand="0" w:noVBand="1"/>
            </w:tblPr>
            <w:tblGrid>
              <w:gridCol w:w="1096"/>
            </w:tblGrid>
            <w:tr>
              <w:trPr>
                <w:trHeight w:val="312"/>
              </w:trPr>
              <w:tc>
                <w:tcPr>
                  <w:shd w:val="clear" w:color="auto" w:fill="auto"/>
                  <w:tcBorders>
                    <w:left w:val="none" w:color="000000" w:sz="4" w:space="0"/>
                    <w:top w:val="none" w:color="000000" w:sz="4" w:space="0"/>
                    <w:right w:val="none" w:color="000000" w:sz="4" w:space="0"/>
                    <w:bottom w:val="none" w:color="000000" w:sz="4" w:space="0"/>
                  </w:tcBorders>
                  <w:tcW w:w="1096" w:type="dxa"/>
                  <w:vAlign w:val="center"/>
                  <w:textDirection w:val="lrTb"/>
                  <w:noWrap/>
                </w:tcPr>
                <w:p>
                  <w:pPr>
                    <w:jc w:val="center"/>
                    <w:widowControl/>
                    <w:rPr>
                      <w:rFonts w:ascii="Times New Roman" w:hAnsi="Times New Roman" w:cs="Times New Roman" w:eastAsia="宋体"/>
                      <w:sz w:val="21"/>
                      <w:szCs w:val="21"/>
                    </w:rPr>
                  </w:pPr>
                  <w:r>
                    <w:rPr>
                      <w:rFonts w:ascii="Times New Roman" w:hAnsi="Times New Roman" w:cs="Times New Roman" w:eastAsia="宋体"/>
                      <w:sz w:val="21"/>
                      <w:szCs w:val="21"/>
                    </w:rPr>
                    <w:t xml:space="preserve">黄一可</w:t>
                  </w:r>
                  <w:r/>
                </w:p>
              </w:tc>
            </w:tr>
          </w:tbl>
          <w:p>
            <w:pPr>
              <w:jc w:val="center"/>
              <w:rPr>
                <w:rFonts w:ascii="Times New Roman" w:hAnsi="Times New Roman" w:cs="Times New Roman"/>
                <w:sz w:val="21"/>
                <w:szCs w:val="21"/>
              </w:rPr>
            </w:pPr>
            <w:r>
              <w:rPr>
                <w:rFonts w:ascii="Times New Roman" w:hAnsi="Times New Roman" w:cs="Times New Roman"/>
                <w:sz w:val="21"/>
                <w:szCs w:val="21"/>
              </w:rPr>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199003</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江明月</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199010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76</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李阳</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198712</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77</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马丽梅</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198909</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78</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冉冬芝</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198711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79</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冉光尧</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199201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80</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王帆</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198410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讲师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肖斌</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198104</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sz w:val="21"/>
                <w:szCs w:val="21"/>
              </w:rPr>
              <w:t xml:space="preserve">博士生导师</w:t>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阳章友</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198410</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余超群</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198401</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84</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袁拥华</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女</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197707</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85</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eastAsia="宋体"/>
                <w:sz w:val="21"/>
                <w:szCs w:val="21"/>
              </w:rPr>
              <w:t xml:space="preserve">袁梽漪</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男</w:t>
            </w:r>
            <w:r/>
          </w:p>
        </w:tc>
        <w:tc>
          <w:tcPr>
            <w:tcBorders>
              <w:left w:val="single" w:sz="6" w:space="0" w:color="auto"/>
              <w:top w:val="single" w:sz="6" w:space="0" w:color="auto"/>
              <w:right w:val="single" w:sz="6" w:space="0" w:color="auto"/>
              <w:bottom w:val="single" w:sz="6" w:space="0" w:color="auto"/>
            </w:tcBorders>
            <w:tcW w:w="992" w:type="dxa"/>
            <w:vAlign w:val="center"/>
            <w:textDirection w:val="lrTb"/>
            <w:noWrap w:val="false"/>
          </w:tcPr>
          <w:p>
            <w:pPr>
              <w:jc w:val="center"/>
              <w:widowControl/>
              <w:rPr>
                <w:rFonts w:ascii="Times New Roman" w:hAnsi="Times New Roman" w:cs="Times New Roman" w:eastAsia="宋体"/>
                <w:sz w:val="21"/>
                <w:szCs w:val="21"/>
              </w:rPr>
            </w:pPr>
            <w:r>
              <w:rPr>
                <w:rFonts w:ascii="Times New Roman" w:hAnsi="Times New Roman" w:cs="Times New Roman"/>
                <w:sz w:val="21"/>
                <w:szCs w:val="21"/>
              </w:rPr>
              <w:t xml:space="preserve">198805</w:t>
            </w:r>
            <w:r/>
          </w:p>
        </w:tc>
        <w:tc>
          <w:tcPr>
            <w:tcBorders>
              <w:left w:val="single" w:sz="6" w:space="0" w:color="auto"/>
              <w:top w:val="single" w:sz="6" w:space="0" w:color="auto"/>
              <w:right w:val="single" w:sz="6" w:space="0" w:color="auto"/>
              <w:bottom w:val="single" w:sz="6"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tcBorders>
              <w:left w:val="single" w:sz="6" w:space="0" w:color="auto"/>
              <w:top w:val="single" w:sz="6" w:space="0" w:color="auto"/>
              <w:right w:val="single" w:sz="6" w:space="0" w:color="auto"/>
              <w:bottom w:val="single" w:sz="6" w:space="0" w:color="auto"/>
            </w:tcBorders>
            <w:tcW w:w="891"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c>
          <w:tcPr>
            <w:tcBorders>
              <w:left w:val="single" w:sz="6" w:space="0" w:color="auto"/>
              <w:top w:val="single" w:sz="6" w:space="0" w:color="auto"/>
              <w:right w:val="single" w:sz="6" w:space="0" w:color="auto"/>
              <w:bottom w:val="single" w:sz="6"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86</w:t>
            </w:r>
            <w:r/>
          </w:p>
        </w:tc>
        <w:tc>
          <w:tcPr>
            <w:shd w:val="clear" w:color="auto" w:fill="auto"/>
            <w:tcBorders>
              <w:left w:val="single" w:sz="4" w:space="0" w:color="auto"/>
              <w:top w:val="single" w:sz="4" w:space="0" w:color="auto"/>
              <w:right w:val="single" w:sz="4" w:space="0" w:color="auto"/>
              <w:bottom w:val="single" w:sz="4" w:space="0" w:color="auto"/>
            </w:tcBorders>
            <w:tcW w:w="993" w:type="dxa"/>
            <w:vAlign w:val="center"/>
            <w:textDirection w:val="lrTb"/>
            <w:noWrap w:val="false"/>
          </w:tcPr>
          <w:p>
            <w:pPr>
              <w:jc w:val="center"/>
              <w:widowControl/>
              <w:rPr>
                <w:rFonts w:ascii="Times New Roman" w:hAnsi="Times New Roman" w:cs="Times New Roman" w:eastAsia="宋体"/>
                <w:color w:val="000000"/>
                <w:sz w:val="22"/>
                <w:szCs w:val="22"/>
              </w:rPr>
            </w:pPr>
            <w:r>
              <w:rPr>
                <w:rFonts w:ascii="Times New Roman" w:hAnsi="Times New Roman" w:cs="Times New Roman"/>
                <w:color w:val="000000" w:themeColor="text1"/>
                <w:sz w:val="22"/>
                <w:szCs w:val="22"/>
              </w:rPr>
              <w:t xml:space="preserve">杜飞</w:t>
            </w:r>
            <w:r/>
          </w:p>
        </w:tc>
        <w:tc>
          <w:tcPr>
            <w:shd w:val="clear" w:color="auto" w:fill="auto"/>
            <w:tcBorders>
              <w:left w:val="none" w:color="000000" w:sz="4" w:space="0"/>
              <w:top w:val="single" w:sz="4" w:space="0" w:color="auto"/>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single" w:sz="4" w:space="0" w:color="auto"/>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198706</w:t>
            </w:r>
            <w:r/>
          </w:p>
        </w:tc>
        <w:tc>
          <w:tcPr>
            <w:shd w:val="clear" w:color="auto" w:fill="auto"/>
            <w:tcBorders>
              <w:left w:val="none" w:color="000000" w:sz="4" w:space="0"/>
              <w:top w:val="single" w:sz="4" w:space="0" w:color="auto"/>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single" w:sz="4" w:space="0" w:color="auto"/>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rPr>
            </w:r>
            <w:r/>
          </w:p>
        </w:tc>
        <w:tc>
          <w:tcPr>
            <w:shd w:val="clear" w:color="auto" w:fill="auto"/>
            <w:tcBorders>
              <w:left w:val="none" w:color="000000" w:sz="4" w:space="0"/>
              <w:top w:val="single" w:sz="4" w:space="0" w:color="auto"/>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single" w:sz="4" w:space="0" w:color="auto"/>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87</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梁伍</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198606</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88</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马玉莹</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199401</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89</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颜建明</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198802</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90</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徐标</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198810</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FF0000"/>
                <w:sz w:val="21"/>
                <w:szCs w:val="21"/>
              </w:rPr>
            </w:pPr>
            <w:r>
              <w:rPr>
                <w:rFonts w:ascii="Times New Roman" w:hAnsi="Times New Roman" w:cs="Times New Roman" w:eastAsia="仿宋"/>
                <w:color w:val="FF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91</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张相军</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198907</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92</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rPr>
            </w:pPr>
            <w:r>
              <w:rPr>
                <w:rFonts w:ascii="Times New Roman" w:hAnsi="Times New Roman" w:cs="Times New Roman"/>
                <w:sz w:val="22"/>
                <w:szCs w:val="22"/>
              </w:rPr>
              <w:t xml:space="preserve">赵倩倩</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199101</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FF0000"/>
                <w:sz w:val="21"/>
                <w:szCs w:val="21"/>
              </w:rPr>
            </w:pPr>
            <w:r>
              <w:rPr>
                <w:rFonts w:ascii="Times New Roman" w:hAnsi="Times New Roman" w:cs="Times New Roman" w:eastAsia="仿宋"/>
                <w:color w:val="FF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93</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于瑞红</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199006</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讲师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94</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郑航</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197808</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副教授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教学</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95</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唐亚岚</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198205</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讲师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教学</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96</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柯秀梅</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198712</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FF0000"/>
                <w:sz w:val="21"/>
                <w:szCs w:val="21"/>
              </w:rPr>
            </w:pPr>
            <w:r>
              <w:rPr>
                <w:rFonts w:ascii="Times New Roman" w:hAnsi="Times New Roman" w:cs="Times New Roman" w:eastAsia="仿宋"/>
                <w:color w:val="FF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97</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江明月</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199010</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讲师</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教学</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98</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陈莎</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198212</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99</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陈俊</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199305</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100</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卿敏</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199310</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101</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蔡阳</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男</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199208</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102</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邓玲</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198507</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color w:val="000000"/>
                <w:sz w:val="21"/>
                <w:szCs w:val="21"/>
              </w:rPr>
            </w:pPr>
            <w:r>
              <w:rPr>
                <w:rFonts w:ascii="Times New Roman" w:hAnsi="Times New Roman" w:cs="Times New Roman" w:eastAsia="楷体"/>
                <w:color w:val="000000" w:themeColor="text1"/>
                <w:sz w:val="21"/>
                <w:szCs w:val="21"/>
              </w:rPr>
              <w:t xml:space="preserve">103</w:t>
            </w:r>
            <w:r/>
          </w:p>
        </w:tc>
        <w:tc>
          <w:tcPr>
            <w:shd w:val="clear" w:color="auto" w:fill="auto"/>
            <w:tcBorders>
              <w:left w:val="single" w:sz="4" w:space="0" w:color="auto"/>
              <w:top w:val="none" w:color="000000" w:sz="4" w:space="0"/>
              <w:right w:val="single" w:sz="4" w:space="0" w:color="auto"/>
              <w:bottom w:val="none" w:color="000000" w:sz="4" w:space="0"/>
            </w:tcBorders>
            <w:tcW w:w="993" w:type="dxa"/>
            <w:vAlign w:val="center"/>
            <w:textDirection w:val="lrTb"/>
            <w:noWrap w:val="false"/>
          </w:tcPr>
          <w:p>
            <w:pPr>
              <w:jc w:val="center"/>
              <w:rPr>
                <w:rFonts w:ascii="Times New Roman" w:hAnsi="Times New Roman" w:cs="Times New Roman"/>
                <w:color w:val="000000"/>
                <w:sz w:val="22"/>
                <w:szCs w:val="22"/>
              </w:rPr>
            </w:pPr>
            <w:r>
              <w:rPr>
                <w:rFonts w:ascii="Times New Roman" w:hAnsi="Times New Roman" w:cs="Times New Roman"/>
                <w:color w:val="000000" w:themeColor="text1"/>
                <w:sz w:val="22"/>
                <w:szCs w:val="22"/>
              </w:rPr>
              <w:t xml:space="preserve">李海萍</w:t>
            </w:r>
            <w:r/>
          </w:p>
        </w:tc>
        <w:tc>
          <w:tcPr>
            <w:shd w:val="clear" w:color="auto" w:fill="auto"/>
            <w:tcBorders>
              <w:left w:val="none" w:color="000000" w:sz="4" w:space="0"/>
              <w:top w:val="none" w:color="000000" w:sz="4" w:space="0"/>
              <w:right w:val="single" w:sz="4" w:space="0" w:color="auto"/>
              <w:bottom w:val="none" w:color="000000" w:sz="4" w:space="0"/>
            </w:tcBorders>
            <w:tcW w:w="567"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女</w:t>
            </w:r>
            <w:r/>
          </w:p>
        </w:tc>
        <w:tc>
          <w:tcPr>
            <w:shd w:val="clear" w:color="auto" w:fill="auto"/>
            <w:tcBorders>
              <w:left w:val="none" w:color="000000" w:sz="4" w:space="0"/>
              <w:top w:val="none" w:color="000000" w:sz="4" w:space="0"/>
              <w:right w:val="single" w:sz="4" w:space="0" w:color="auto"/>
              <w:bottom w:val="none" w:color="000000" w:sz="4" w:space="0"/>
            </w:tcBorders>
            <w:tcW w:w="992" w:type="dxa"/>
            <w:vAlign w:val="center"/>
            <w:textDirection w:val="lrTb"/>
            <w:noWrap w:val="false"/>
          </w:tcPr>
          <w:p>
            <w:pPr>
              <w:jc w:val="center"/>
              <w:rPr>
                <w:rFonts w:ascii="Times New Roman" w:hAnsi="Times New Roman" w:cs="Times New Roman"/>
                <w:color w:val="000000"/>
              </w:rPr>
            </w:pPr>
            <w:r>
              <w:rPr>
                <w:rFonts w:ascii="Times New Roman" w:hAnsi="Times New Roman" w:cs="Times New Roman"/>
                <w:color w:val="000000" w:themeColor="text1"/>
              </w:rPr>
              <w:t xml:space="preserve">199404</w:t>
            </w:r>
            <w:r/>
          </w:p>
        </w:tc>
        <w:tc>
          <w:tcPr>
            <w:shd w:val="clear" w:color="auto" w:fill="auto"/>
            <w:tcBorders>
              <w:left w:val="none" w:color="000000" w:sz="4" w:space="0"/>
              <w:top w:val="none" w:color="000000" w:sz="4" w:space="0"/>
              <w:right w:val="single" w:sz="4" w:space="0" w:color="auto"/>
              <w:bottom w:val="none" w:color="000000" w:sz="4" w:space="0"/>
            </w:tcBorders>
            <w:tcW w:w="1326"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w:t>
            </w:r>
            <w:r/>
          </w:p>
        </w:tc>
        <w:tc>
          <w:tcPr>
            <w:shd w:val="clear" w:color="auto" w:fill="auto"/>
            <w:tcBorders>
              <w:left w:val="none" w:color="000000" w:sz="4" w:space="0"/>
              <w:top w:val="none" w:color="000000" w:sz="4" w:space="0"/>
              <w:right w:val="single" w:sz="4" w:space="0" w:color="auto"/>
              <w:bottom w:val="none" w:color="000000" w:sz="4" w:space="0"/>
            </w:tcBorders>
            <w:tcW w:w="891"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sz w:val="21"/>
                <w:szCs w:val="21"/>
              </w:rPr>
            </w:r>
            <w:r/>
          </w:p>
        </w:tc>
        <w:tc>
          <w:tcPr>
            <w:shd w:val="clear" w:color="auto" w:fill="auto"/>
            <w:tcBorders>
              <w:left w:val="none" w:color="000000" w:sz="4" w:space="0"/>
              <w:top w:val="none" w:color="000000" w:sz="4" w:space="0"/>
              <w:right w:val="single" w:sz="4" w:space="0" w:color="auto"/>
              <w:bottom w:val="none" w:color="000000" w:sz="4" w:space="0"/>
            </w:tcBorders>
            <w:tcW w:w="1185"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研究</w:t>
            </w:r>
            <w:r/>
          </w:p>
        </w:tc>
        <w:tc>
          <w:tcPr>
            <w:shd w:val="clear" w:color="auto" w:fill="auto"/>
            <w:tcBorders>
              <w:left w:val="none" w:color="000000" w:sz="4" w:space="0"/>
              <w:top w:val="none" w:color="000000" w:sz="4" w:space="0"/>
              <w:right w:val="single" w:sz="4" w:space="0" w:color="auto"/>
              <w:bottom w:val="none" w:color="000000" w:sz="4" w:space="0"/>
            </w:tcBorders>
            <w:tcW w:w="850" w:type="dxa"/>
            <w:vAlign w:val="center"/>
            <w:textDirection w:val="lrTb"/>
            <w:noWrap w:val="false"/>
          </w:tcPr>
          <w:p>
            <w:pPr>
              <w:jc w:val="center"/>
              <w:rPr>
                <w:rFonts w:ascii="Times New Roman" w:hAnsi="Times New Roman" w:cs="Times New Roman"/>
                <w:color w:val="000000"/>
                <w:sz w:val="21"/>
                <w:szCs w:val="21"/>
              </w:rPr>
            </w:pPr>
            <w:r>
              <w:rPr>
                <w:rFonts w:ascii="Times New Roman" w:hAnsi="Times New Roman" w:cs="Times New Roman"/>
                <w:color w:val="000000" w:themeColor="text1"/>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104</w:t>
            </w:r>
            <w:r/>
          </w:p>
        </w:tc>
        <w:tc>
          <w:tcPr>
            <w:shd w:val="clear" w:color="auto" w:fill="auto"/>
            <w:tcBorders>
              <w:left w:val="single" w:sz="4" w:space="0" w:color="auto"/>
              <w:top w:val="none" w:color="000000" w:sz="4" w:space="0"/>
              <w:right w:val="single" w:sz="4" w:space="0" w:color="auto"/>
              <w:bottom w:val="none" w:color="000000" w:sz="4" w:space="0"/>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胡萍萍</w:t>
            </w:r>
            <w:r/>
          </w:p>
        </w:tc>
        <w:tc>
          <w:tcPr>
            <w:shd w:val="clear" w:color="auto" w:fill="auto"/>
            <w:tcBorders>
              <w:left w:val="none" w:color="000000" w:sz="4" w:space="0"/>
              <w:top w:val="none" w:color="000000" w:sz="4" w:space="0"/>
              <w:right w:val="single" w:sz="4" w:space="0" w:color="auto"/>
              <w:bottom w:val="none" w:color="000000" w:sz="4" w:space="0"/>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女</w:t>
            </w:r>
            <w:r/>
          </w:p>
        </w:tc>
        <w:tc>
          <w:tcPr>
            <w:shd w:val="clear" w:color="auto" w:fill="auto"/>
            <w:tcBorders>
              <w:left w:val="none" w:color="000000" w:sz="4" w:space="0"/>
              <w:top w:val="none" w:color="000000" w:sz="4" w:space="0"/>
              <w:right w:val="single" w:sz="4" w:space="0" w:color="auto"/>
              <w:bottom w:val="none" w:color="000000" w:sz="4" w:space="0"/>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198403</w:t>
            </w:r>
            <w:r/>
          </w:p>
        </w:tc>
        <w:tc>
          <w:tcPr>
            <w:shd w:val="clear" w:color="auto" w:fill="auto"/>
            <w:tcBorders>
              <w:left w:val="none" w:color="000000" w:sz="4" w:space="0"/>
              <w:top w:val="none" w:color="000000" w:sz="4" w:space="0"/>
              <w:right w:val="single" w:sz="4" w:space="0" w:color="auto"/>
              <w:bottom w:val="none" w:color="000000" w:sz="4" w:space="0"/>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shd w:val="clear" w:color="auto" w:fill="auto"/>
            <w:tcBorders>
              <w:left w:val="none" w:color="000000" w:sz="4" w:space="0"/>
              <w:top w:val="none" w:color="000000" w:sz="4" w:space="0"/>
              <w:right w:val="single" w:sz="4" w:space="0" w:color="auto"/>
              <w:bottom w:val="none" w:color="000000" w:sz="4" w:space="0"/>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none" w:color="000000" w:sz="4" w:space="0"/>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shd w:val="clear" w:color="auto" w:fill="auto"/>
            <w:tcBorders>
              <w:left w:val="none" w:color="000000" w:sz="4" w:space="0"/>
              <w:top w:val="none" w:color="000000" w:sz="4" w:space="0"/>
              <w:right w:val="single" w:sz="4" w:space="0" w:color="auto"/>
              <w:bottom w:val="none" w:color="000000" w:sz="4" w:space="0"/>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105</w:t>
            </w:r>
            <w:r/>
          </w:p>
        </w:tc>
        <w:tc>
          <w:tcPr>
            <w:shd w:val="clear" w:color="auto" w:fill="auto"/>
            <w:tcBorders>
              <w:left w:val="single" w:sz="4" w:space="0" w:color="auto"/>
              <w:top w:val="none" w:color="000000" w:sz="4" w:space="0"/>
              <w:right w:val="single" w:sz="4" w:space="0" w:color="auto"/>
              <w:bottom w:val="none" w:color="000000" w:sz="4" w:space="0"/>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张晓</w:t>
            </w:r>
            <w:r/>
          </w:p>
        </w:tc>
        <w:tc>
          <w:tcPr>
            <w:shd w:val="clear" w:color="auto" w:fill="auto"/>
            <w:tcBorders>
              <w:left w:val="none" w:color="000000" w:sz="4" w:space="0"/>
              <w:top w:val="none" w:color="000000" w:sz="4" w:space="0"/>
              <w:right w:val="single" w:sz="4" w:space="0" w:color="auto"/>
              <w:bottom w:val="none" w:color="000000" w:sz="4" w:space="0"/>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女</w:t>
            </w:r>
            <w:r/>
          </w:p>
        </w:tc>
        <w:tc>
          <w:tcPr>
            <w:shd w:val="clear" w:color="auto" w:fill="auto"/>
            <w:tcBorders>
              <w:left w:val="none" w:color="000000" w:sz="4" w:space="0"/>
              <w:top w:val="none" w:color="000000" w:sz="4" w:space="0"/>
              <w:right w:val="single" w:sz="4" w:space="0" w:color="auto"/>
              <w:bottom w:val="none" w:color="000000" w:sz="4" w:space="0"/>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198507</w:t>
            </w:r>
            <w:r/>
          </w:p>
        </w:tc>
        <w:tc>
          <w:tcPr>
            <w:shd w:val="clear" w:color="auto" w:fill="auto"/>
            <w:tcBorders>
              <w:left w:val="none" w:color="000000" w:sz="4" w:space="0"/>
              <w:top w:val="none" w:color="000000" w:sz="4" w:space="0"/>
              <w:right w:val="single" w:sz="4" w:space="0" w:color="auto"/>
              <w:bottom w:val="none" w:color="000000" w:sz="4" w:space="0"/>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副教授</w:t>
            </w:r>
            <w:r/>
          </w:p>
        </w:tc>
        <w:tc>
          <w:tcPr>
            <w:shd w:val="clear" w:color="auto" w:fill="auto"/>
            <w:tcBorders>
              <w:left w:val="none" w:color="000000" w:sz="4" w:space="0"/>
              <w:top w:val="none" w:color="000000" w:sz="4" w:space="0"/>
              <w:right w:val="single" w:sz="4" w:space="0" w:color="auto"/>
              <w:bottom w:val="none" w:color="000000" w:sz="4" w:space="0"/>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none" w:color="000000" w:sz="4" w:space="0"/>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shd w:val="clear" w:color="auto" w:fill="auto"/>
            <w:tcBorders>
              <w:left w:val="none" w:color="000000" w:sz="4" w:space="0"/>
              <w:top w:val="none" w:color="000000" w:sz="4" w:space="0"/>
              <w:right w:val="single" w:sz="4" w:space="0" w:color="auto"/>
              <w:bottom w:val="none" w:color="000000" w:sz="4" w:space="0"/>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硕士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Times New Roman" w:hAnsi="Times New Roman" w:cs="Times New Roman" w:eastAsia="楷体"/>
                <w:sz w:val="21"/>
                <w:szCs w:val="21"/>
              </w:rPr>
            </w:pPr>
            <w:r>
              <w:rPr>
                <w:rFonts w:ascii="Times New Roman" w:hAnsi="Times New Roman" w:cs="Times New Roman" w:eastAsia="楷体"/>
                <w:sz w:val="21"/>
                <w:szCs w:val="21"/>
              </w:rPr>
              <w:t xml:space="preserve">106</w:t>
            </w:r>
            <w:r/>
          </w:p>
        </w:tc>
        <w:tc>
          <w:tcPr>
            <w:shd w:val="clear" w:color="auto" w:fill="auto"/>
            <w:tcBorders>
              <w:left w:val="single" w:sz="4" w:space="0" w:color="auto"/>
              <w:top w:val="none" w:color="000000" w:sz="4" w:space="0"/>
              <w:right w:val="single" w:sz="4" w:space="0" w:color="auto"/>
              <w:bottom w:val="single" w:sz="4" w:space="0" w:color="auto"/>
            </w:tcBorders>
            <w:tcW w:w="993" w:type="dxa"/>
            <w:vAlign w:val="center"/>
            <w:textDirection w:val="lrTb"/>
            <w:noWrap w:val="false"/>
          </w:tcPr>
          <w:p>
            <w:pPr>
              <w:jc w:val="center"/>
              <w:rPr>
                <w:rFonts w:ascii="Times New Roman" w:hAnsi="Times New Roman" w:cs="Times New Roman"/>
                <w:sz w:val="22"/>
                <w:szCs w:val="22"/>
              </w:rPr>
            </w:pPr>
            <w:r>
              <w:rPr>
                <w:rFonts w:ascii="Times New Roman" w:hAnsi="Times New Roman" w:cs="Times New Roman"/>
                <w:sz w:val="22"/>
                <w:szCs w:val="22"/>
              </w:rPr>
              <w:t xml:space="preserve">李盼</w:t>
            </w:r>
            <w:r/>
          </w:p>
        </w:tc>
        <w:tc>
          <w:tcPr>
            <w:shd w:val="clear" w:color="auto" w:fill="auto"/>
            <w:tcBorders>
              <w:left w:val="none" w:color="000000" w:sz="4" w:space="0"/>
              <w:top w:val="none" w:color="000000" w:sz="4" w:space="0"/>
              <w:right w:val="single" w:sz="4" w:space="0" w:color="auto"/>
              <w:bottom w:val="single" w:sz="4" w:space="0" w:color="auto"/>
            </w:tcBorders>
            <w:tcW w:w="567"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女</w:t>
            </w:r>
            <w:r/>
          </w:p>
        </w:tc>
        <w:tc>
          <w:tcPr>
            <w:shd w:val="clear" w:color="auto" w:fill="auto"/>
            <w:tcBorders>
              <w:left w:val="none" w:color="000000" w:sz="4" w:space="0"/>
              <w:top w:val="none" w:color="000000" w:sz="4" w:space="0"/>
              <w:right w:val="single" w:sz="4" w:space="0" w:color="auto"/>
              <w:bottom w:val="single" w:sz="4" w:space="0" w:color="auto"/>
            </w:tcBorders>
            <w:tcW w:w="992" w:type="dxa"/>
            <w:vAlign w:val="center"/>
            <w:textDirection w:val="lrTb"/>
            <w:noWrap w:val="false"/>
          </w:tcPr>
          <w:p>
            <w:pPr>
              <w:jc w:val="center"/>
              <w:rPr>
                <w:rFonts w:ascii="Times New Roman" w:hAnsi="Times New Roman" w:cs="Times New Roman"/>
              </w:rPr>
            </w:pPr>
            <w:r>
              <w:rPr>
                <w:rFonts w:ascii="Times New Roman" w:hAnsi="Times New Roman" w:cs="Times New Roman"/>
              </w:rPr>
              <w:t xml:space="preserve">199004</w:t>
            </w:r>
            <w:r/>
          </w:p>
        </w:tc>
        <w:tc>
          <w:tcPr>
            <w:shd w:val="clear" w:color="auto" w:fill="auto"/>
            <w:tcBorders>
              <w:left w:val="none" w:color="000000" w:sz="4" w:space="0"/>
              <w:top w:val="none" w:color="000000" w:sz="4" w:space="0"/>
              <w:right w:val="single" w:sz="4" w:space="0" w:color="auto"/>
              <w:bottom w:val="single" w:sz="4" w:space="0" w:color="auto"/>
            </w:tcBorders>
            <w:tcW w:w="1326"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副研究员</w:t>
            </w:r>
            <w:r/>
          </w:p>
        </w:tc>
        <w:tc>
          <w:tcPr>
            <w:shd w:val="clear" w:color="auto" w:fill="auto"/>
            <w:tcBorders>
              <w:left w:val="none" w:color="000000" w:sz="4" w:space="0"/>
              <w:top w:val="none" w:color="000000" w:sz="4" w:space="0"/>
              <w:right w:val="single" w:sz="4" w:space="0" w:color="auto"/>
              <w:bottom w:val="single" w:sz="4" w:space="0" w:color="auto"/>
            </w:tcBorders>
            <w:tcW w:w="891"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r>
            <w:r/>
          </w:p>
        </w:tc>
        <w:tc>
          <w:tcPr>
            <w:shd w:val="clear" w:color="auto" w:fill="auto"/>
            <w:tcBorders>
              <w:left w:val="none" w:color="000000" w:sz="4" w:space="0"/>
              <w:top w:val="none" w:color="000000" w:sz="4" w:space="0"/>
              <w:right w:val="single" w:sz="4" w:space="0" w:color="auto"/>
              <w:bottom w:val="single" w:sz="4" w:space="0" w:color="auto"/>
            </w:tcBorders>
            <w:tcW w:w="1185"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教学</w:t>
            </w:r>
            <w:r/>
          </w:p>
        </w:tc>
        <w:tc>
          <w:tcPr>
            <w:shd w:val="clear" w:color="auto" w:fill="auto"/>
            <w:tcBorders>
              <w:left w:val="none" w:color="000000" w:sz="4" w:space="0"/>
              <w:top w:val="none" w:color="000000" w:sz="4" w:space="0"/>
              <w:right w:val="single" w:sz="4" w:space="0" w:color="auto"/>
              <w:bottom w:val="single" w:sz="4" w:space="0" w:color="auto"/>
            </w:tcBorders>
            <w:tcW w:w="850" w:type="dxa"/>
            <w:vAlign w:val="center"/>
            <w:textDirection w:val="lrTb"/>
            <w:noWrap w:val="false"/>
          </w:tcPr>
          <w:p>
            <w:pPr>
              <w:jc w:val="center"/>
              <w:rPr>
                <w:rFonts w:ascii="Times New Roman" w:hAnsi="Times New Roman" w:cs="Times New Roman"/>
                <w:sz w:val="21"/>
                <w:szCs w:val="21"/>
              </w:rPr>
            </w:pPr>
            <w:r>
              <w:rPr>
                <w:rFonts w:ascii="Times New Roman" w:hAnsi="Times New Roman" w:cs="Times New Roman"/>
                <w:sz w:val="21"/>
                <w:szCs w:val="21"/>
              </w:rPr>
              <w:t xml:space="preserve">博士</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bl>
    <w:p>
      <w:pPr>
        <w:ind w:firstLine="480"/>
        <w:spacing w:before="163"/>
        <w:rPr>
          <w:rFonts w:ascii="楷体" w:hAnsi="楷体" w:eastAsia="楷体"/>
          <w:color w:val="44546A"/>
        </w:rPr>
      </w:pPr>
      <w:r>
        <w:rPr>
          <w:rFonts w:ascii="楷体" w:hAnsi="楷体" w:cs="仿宋_GB2312" w:eastAsia="楷体" w:hint="eastAsia"/>
          <w:bCs/>
        </w:rPr>
        <w:t xml:space="preserve">注：（1）固定人员：</w:t>
      </w:r>
      <w:r>
        <w:rPr>
          <w:rFonts w:ascii="楷体" w:hAnsi="楷体" w:cs="仿宋_GB2312" w:eastAsia="楷体" w:hint="eastAsia"/>
        </w:rPr>
        <w:t xml:space="preserve">指经过核定的属于示范中心编制的人员。（2）</w:t>
      </w:r>
      <w:r>
        <w:rPr>
          <w:rFonts w:ascii="楷体" w:hAnsi="楷体" w:cs="宋体" w:eastAsia="楷体" w:hint="eastAsia"/>
          <w:bCs/>
        </w:rPr>
        <w:t xml:space="preserve">示范中心职务：</w:t>
      </w:r>
      <w:r>
        <w:rPr>
          <w:rFonts w:ascii="楷体" w:hAnsi="楷体" w:eastAsia="楷体" w:hint="eastAsia"/>
        </w:rPr>
        <w:t xml:space="preserve">示范中心主任、副主任。（3）</w:t>
      </w:r>
      <w:r>
        <w:rPr>
          <w:rFonts w:ascii="楷体" w:hAnsi="楷体" w:cs="宋体" w:eastAsia="楷体" w:hint="eastAsia"/>
          <w:bCs/>
        </w:rPr>
        <w:t xml:space="preserve">工</w:t>
      </w:r>
      <w:r>
        <w:rPr>
          <w:rFonts w:ascii="楷体" w:hAnsi="楷体" w:cs="宋体" w:eastAsia="楷体" w:hint="eastAsia"/>
          <w:bCs/>
          <w:color w:val="44546A" w:themeColor="text2"/>
        </w:rPr>
        <w:t xml:space="preserve">作性质：</w:t>
      </w:r>
      <w:r>
        <w:rPr>
          <w:rFonts w:ascii="楷体" w:hAnsi="楷体" w:eastAsia="楷体" w:hint="eastAsia"/>
          <w:color w:val="44546A" w:themeColor="text2"/>
        </w:rPr>
        <w:t xml:space="preserve">教学、技术、管理、其他。（4）</w:t>
      </w:r>
      <w:r>
        <w:rPr>
          <w:rFonts w:ascii="楷体" w:hAnsi="楷体" w:cs="宋体" w:eastAsia="楷体"/>
          <w:bCs/>
          <w:color w:val="44546A" w:themeColor="text2"/>
        </w:rPr>
        <w:t xml:space="preserve">学位：</w:t>
      </w:r>
      <w:r>
        <w:rPr>
          <w:rFonts w:ascii="楷体" w:hAnsi="楷体" w:eastAsia="楷体"/>
          <w:color w:val="44546A" w:themeColor="text2"/>
        </w:rPr>
        <w:t xml:space="preserve">博士、硕士、学士、其</w:t>
      </w:r>
      <w:r>
        <w:rPr>
          <w:rFonts w:ascii="楷体" w:hAnsi="楷体" w:eastAsia="楷体" w:hint="eastAsia"/>
          <w:color w:val="44546A" w:themeColor="text2"/>
        </w:rPr>
        <w:t xml:space="preserve">他</w:t>
      </w:r>
      <w:r>
        <w:rPr>
          <w:rFonts w:ascii="楷体" w:hAnsi="楷体" w:eastAsia="楷体"/>
          <w:color w:val="44546A" w:themeColor="text2"/>
        </w:rPr>
        <w:t xml:space="preserve">，一般以学位证书为准</w:t>
      </w:r>
      <w:r>
        <w:rPr>
          <w:rFonts w:ascii="楷体" w:hAnsi="楷体" w:eastAsia="楷体" w:hint="eastAsia"/>
          <w:color w:val="44546A" w:themeColor="text2"/>
        </w:rPr>
        <w:t xml:space="preserve">。（5）</w:t>
      </w:r>
      <w:r>
        <w:rPr>
          <w:rFonts w:ascii="楷体" w:hAnsi="楷体" w:eastAsia="楷体" w:hint="eastAsia"/>
          <w:bCs/>
          <w:color w:val="44546A" w:themeColor="text2"/>
        </w:rPr>
        <w:t xml:space="preserve">备注：</w:t>
      </w:r>
      <w:r>
        <w:rPr>
          <w:rFonts w:ascii="楷体" w:hAnsi="楷体" w:eastAsia="楷体" w:hint="eastAsia"/>
          <w:color w:val="44546A" w:themeColor="text2"/>
        </w:rPr>
        <w:t xml:space="preserve">是否院士、博士生导师、杰出青年基金获得者、长江学者等，获得时间。</w:t>
      </w:r>
      <w:bookmarkStart w:id="108" w:name="本年度兼职人员情况"/>
      <w:r/>
      <w:bookmarkEnd w:id="108"/>
      <w:r/>
      <w:r/>
    </w:p>
    <w:p>
      <w:pPr>
        <w:ind w:firstLine="560"/>
        <w:spacing w:after="163" w:before="163"/>
        <w:rPr>
          <w:rFonts w:ascii="黑体" w:hAnsi="黑体" w:cs="仿宋_GB2312" w:eastAsia="黑体"/>
          <w:bCs/>
          <w:sz w:val="28"/>
          <w:szCs w:val="28"/>
        </w:rPr>
      </w:pPr>
      <w:r>
        <w:rPr>
          <w:rFonts w:ascii="黑体" w:hAnsi="黑体" w:eastAsia="黑体" w:hint="eastAsia"/>
          <w:bCs/>
          <w:sz w:val="28"/>
          <w:szCs w:val="28"/>
        </w:rPr>
        <w:t xml:space="preserve">（二）本年度</w:t>
      </w:r>
      <w:r>
        <w:rPr>
          <w:rFonts w:ascii="黑体" w:hAnsi="黑体" w:cs="仿宋_GB2312" w:eastAsia="黑体" w:hint="eastAsia"/>
          <w:bCs/>
          <w:sz w:val="28"/>
          <w:szCs w:val="28"/>
        </w:rPr>
        <w:t xml:space="preserve">兼职人员情况</w:t>
      </w:r>
      <w:r/>
    </w:p>
    <w:tbl>
      <w:tblPr>
        <w:tblW w:w="8364" w:type="dxa"/>
        <w:tblInd w:w="108" w:type="dxa"/>
        <w:tblBorders>
          <w:left w:val="single" w:sz="12" w:space="0" w:color="auto"/>
          <w:top w:val="single" w:sz="12" w:space="0" w:color="auto"/>
          <w:right w:val="single" w:sz="12" w:space="0" w:color="auto"/>
          <w:insideV w:val="single" w:sz="6" w:space="0" w:color="auto"/>
          <w:insideH w:val="single" w:sz="6" w:space="0" w:color="auto"/>
        </w:tblBorders>
        <w:tblLayout w:type="fixed"/>
        <w:tblLook w:val="04A0" w:firstRow="1" w:lastRow="0" w:firstColumn="1" w:lastColumn="0" w:noHBand="0" w:noVBand="1"/>
      </w:tblPr>
      <w:tblGrid>
        <w:gridCol w:w="567"/>
        <w:gridCol w:w="993"/>
        <w:gridCol w:w="567"/>
        <w:gridCol w:w="1275"/>
        <w:gridCol w:w="709"/>
        <w:gridCol w:w="1134"/>
        <w:gridCol w:w="1276"/>
        <w:gridCol w:w="850"/>
        <w:gridCol w:w="993"/>
      </w:tblGrid>
      <w:tr>
        <w:trPr>
          <w:trHeight w:val="609"/>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序号</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姓名</w:t>
            </w:r>
            <w:r/>
          </w:p>
        </w:tc>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性别</w:t>
            </w:r>
            <w:r/>
          </w:p>
        </w:tc>
        <w:tc>
          <w:tcPr>
            <w:tcBorders>
              <w:left w:val="single" w:sz="6" w:space="0" w:color="auto"/>
              <w:top w:val="single" w:sz="6" w:space="0" w:color="auto"/>
              <w:right w:val="single" w:sz="6" w:space="0" w:color="auto"/>
              <w:bottom w:val="single" w:sz="6" w:space="0" w:color="auto"/>
            </w:tcBorders>
            <w:tcW w:w="1275"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出生年份</w:t>
            </w:r>
            <w:r/>
          </w:p>
        </w:tc>
        <w:tc>
          <w:tcPr>
            <w:tcBorders>
              <w:left w:val="single" w:sz="6" w:space="0" w:color="auto"/>
              <w:top w:val="single" w:sz="6" w:space="0" w:color="auto"/>
              <w:right w:val="single" w:sz="6" w:space="0" w:color="auto"/>
              <w:bottom w:val="single" w:sz="6" w:space="0" w:color="auto"/>
            </w:tcBorders>
            <w:tcW w:w="709"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职称</w:t>
            </w:r>
            <w:r/>
          </w:p>
        </w:tc>
        <w:tc>
          <w:tcPr>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职务</w:t>
            </w:r>
            <w:r/>
          </w:p>
        </w:tc>
        <w:tc>
          <w:tcPr>
            <w:tcBorders>
              <w:left w:val="single" w:sz="6" w:space="0" w:color="auto"/>
              <w:top w:val="single" w:sz="6" w:space="0" w:color="auto"/>
              <w:right w:val="single" w:sz="6" w:space="0" w:color="auto"/>
              <w:bottom w:val="single" w:sz="6" w:space="0" w:color="auto"/>
            </w:tcBorders>
            <w:tcW w:w="1276"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工作性质</w:t>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学位</w:t>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备注</w:t>
            </w:r>
            <w:r/>
          </w:p>
        </w:tc>
      </w:tr>
      <w:tr>
        <w:trPr>
          <w:trHeight w:val="432"/>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left"/>
              <w:rPr>
                <w:rFonts w:ascii="楷体" w:hAnsi="楷体" w:eastAsia="楷体"/>
                <w:sz w:val="18"/>
                <w:szCs w:val="18"/>
              </w:rPr>
            </w:pPr>
            <w:r>
              <w:rPr>
                <w:rFonts w:ascii="楷体" w:hAnsi="楷体" w:eastAsia="楷体" w:hint="eastAsia"/>
                <w:sz w:val="18"/>
                <w:szCs w:val="18"/>
              </w:rPr>
              <w:t xml:space="preserve">1</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widowControl/>
              <w:rPr>
                <w:rFonts w:ascii="仿宋" w:hAnsi="仿宋" w:eastAsia="仿宋"/>
                <w:sz w:val="18"/>
                <w:szCs w:val="18"/>
              </w:rPr>
            </w:pPr>
            <w:r>
              <w:rPr>
                <w:rFonts w:ascii="仿宋" w:hAnsi="仿宋" w:eastAsia="仿宋"/>
                <w:sz w:val="18"/>
                <w:szCs w:val="18"/>
              </w:rPr>
            </w:r>
            <w:r/>
          </w:p>
        </w:tc>
        <w:tc>
          <w:tcPr>
            <w:tcBorders>
              <w:left w:val="single" w:sz="6" w:space="0" w:color="auto"/>
              <w:top w:val="single" w:sz="6" w:space="0" w:color="auto"/>
              <w:right w:val="single" w:sz="6" w:space="0" w:color="auto"/>
              <w:bottom w:val="single" w:sz="6" w:space="0" w:color="auto"/>
            </w:tcBorders>
            <w:tcW w:w="567" w:type="dxa"/>
            <w:textDirection w:val="lrTb"/>
            <w:noWrap w:val="false"/>
          </w:tcPr>
          <w:p>
            <w:pPr>
              <w:jc w:val="left"/>
              <w:rPr>
                <w:rFonts w:ascii="宋体" w:hAnsi="宋体" w:cs="宋体" w:eastAsia="宋体"/>
                <w:color w:val="000000"/>
                <w:sz w:val="18"/>
                <w:szCs w:val="18"/>
              </w:rPr>
            </w:pPr>
            <w:r>
              <w:rPr>
                <w:rFonts w:ascii="宋体" w:hAnsi="宋体" w:cs="宋体" w:eastAsia="宋体"/>
                <w:color w:val="000000"/>
                <w:sz w:val="18"/>
                <w:szCs w:val="18"/>
              </w:rPr>
            </w:r>
            <w:r/>
          </w:p>
        </w:tc>
        <w:tc>
          <w:tcPr>
            <w:tcBorders>
              <w:left w:val="single" w:sz="6" w:space="0" w:color="auto"/>
              <w:top w:val="single" w:sz="6" w:space="0" w:color="auto"/>
              <w:right w:val="single" w:sz="6" w:space="0" w:color="auto"/>
              <w:bottom w:val="single" w:sz="6" w:space="0" w:color="auto"/>
            </w:tcBorders>
            <w:tcW w:w="127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709"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27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left"/>
              <w:rPr>
                <w:rFonts w:ascii="楷体" w:hAnsi="楷体" w:eastAsia="楷体"/>
                <w:sz w:val="18"/>
                <w:szCs w:val="18"/>
              </w:rPr>
            </w:pPr>
            <w:r>
              <w:rPr>
                <w:rFonts w:ascii="楷体" w:hAnsi="楷体" w:eastAsia="楷体" w:hint="eastAsia"/>
                <w:sz w:val="18"/>
                <w:szCs w:val="18"/>
              </w:rPr>
              <w:t xml:space="preserve">2</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widowControl/>
              <w:rPr>
                <w:rFonts w:ascii="仿宋" w:hAnsi="仿宋" w:eastAsia="仿宋"/>
                <w:sz w:val="18"/>
                <w:szCs w:val="18"/>
              </w:rPr>
            </w:pPr>
            <w:r>
              <w:rPr>
                <w:rFonts w:ascii="仿宋" w:hAnsi="仿宋" w:eastAsia="仿宋"/>
                <w:sz w:val="18"/>
                <w:szCs w:val="18"/>
              </w:rPr>
            </w:r>
            <w:r/>
          </w:p>
        </w:tc>
        <w:tc>
          <w:tcPr>
            <w:tcBorders>
              <w:left w:val="single" w:sz="6" w:space="0" w:color="auto"/>
              <w:top w:val="single" w:sz="6" w:space="0" w:color="auto"/>
              <w:right w:val="single" w:sz="6" w:space="0" w:color="auto"/>
              <w:bottom w:val="single" w:sz="6" w:space="0" w:color="auto"/>
            </w:tcBorders>
            <w:tcW w:w="567" w:type="dxa"/>
            <w:textDirection w:val="lrTb"/>
            <w:noWrap w:val="false"/>
          </w:tcPr>
          <w:p>
            <w:pPr>
              <w:jc w:val="left"/>
              <w:rPr>
                <w:rFonts w:ascii="宋体" w:hAnsi="宋体" w:cs="宋体" w:eastAsia="宋体"/>
                <w:color w:val="000000"/>
                <w:sz w:val="18"/>
                <w:szCs w:val="18"/>
              </w:rPr>
            </w:pPr>
            <w:r>
              <w:rPr>
                <w:rFonts w:ascii="宋体" w:hAnsi="宋体" w:cs="宋体" w:eastAsia="宋体"/>
                <w:color w:val="000000"/>
                <w:sz w:val="18"/>
                <w:szCs w:val="18"/>
              </w:rPr>
            </w:r>
            <w:r/>
          </w:p>
        </w:tc>
        <w:tc>
          <w:tcPr>
            <w:tcBorders>
              <w:left w:val="single" w:sz="6" w:space="0" w:color="auto"/>
              <w:top w:val="single" w:sz="6" w:space="0" w:color="auto"/>
              <w:right w:val="single" w:sz="6" w:space="0" w:color="auto"/>
              <w:bottom w:val="single" w:sz="6" w:space="0" w:color="auto"/>
            </w:tcBorders>
            <w:tcW w:w="127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709"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27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r>
        <w:trPr>
          <w:trHeight w:val="435"/>
        </w:trPr>
        <w:tc>
          <w:tcPr>
            <w:tcBorders>
              <w:left w:val="single" w:sz="6" w:space="0" w:color="auto"/>
              <w:top w:val="single" w:sz="6" w:space="0" w:color="auto"/>
              <w:right w:val="single" w:sz="6" w:space="0" w:color="auto"/>
              <w:bottom w:val="single" w:sz="6" w:space="0" w:color="auto"/>
            </w:tcBorders>
            <w:tcW w:w="567" w:type="dxa"/>
            <w:vAlign w:val="center"/>
            <w:textDirection w:val="lrTb"/>
            <w:noWrap w:val="false"/>
          </w:tcPr>
          <w:p>
            <w:pPr>
              <w:jc w:val="left"/>
              <w:rPr>
                <w:rFonts w:ascii="楷体" w:hAnsi="楷体" w:eastAsia="楷体"/>
                <w:sz w:val="18"/>
                <w:szCs w:val="18"/>
              </w:rPr>
            </w:pPr>
            <w:r>
              <w:rPr>
                <w:rFonts w:ascii="楷体" w:hAnsi="楷体" w:eastAsia="楷体" w:hint="eastAsia"/>
                <w:sz w:val="18"/>
                <w:szCs w:val="18"/>
              </w:rPr>
              <w:t xml:space="preserve">3</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widowControl/>
              <w:rPr>
                <w:rFonts w:ascii="仿宋" w:hAnsi="仿宋" w:eastAsia="仿宋"/>
                <w:sz w:val="18"/>
                <w:szCs w:val="18"/>
              </w:rPr>
            </w:pPr>
            <w:r>
              <w:rPr>
                <w:rFonts w:ascii="仿宋" w:hAnsi="仿宋" w:eastAsia="仿宋"/>
                <w:sz w:val="18"/>
                <w:szCs w:val="18"/>
              </w:rPr>
            </w:r>
            <w:r/>
          </w:p>
        </w:tc>
        <w:tc>
          <w:tcPr>
            <w:tcBorders>
              <w:left w:val="single" w:sz="6" w:space="0" w:color="auto"/>
              <w:top w:val="single" w:sz="6" w:space="0" w:color="auto"/>
              <w:right w:val="single" w:sz="6" w:space="0" w:color="auto"/>
              <w:bottom w:val="single" w:sz="6" w:space="0" w:color="auto"/>
            </w:tcBorders>
            <w:tcW w:w="567" w:type="dxa"/>
            <w:textDirection w:val="lrTb"/>
            <w:noWrap w:val="false"/>
          </w:tcPr>
          <w:p>
            <w:pPr>
              <w:jc w:val="left"/>
              <w:rPr>
                <w:rFonts w:ascii="宋体" w:hAnsi="宋体" w:cs="宋体" w:eastAsia="宋体"/>
                <w:color w:val="000000"/>
                <w:sz w:val="18"/>
                <w:szCs w:val="18"/>
              </w:rPr>
            </w:pPr>
            <w:r>
              <w:rPr>
                <w:rFonts w:ascii="宋体" w:hAnsi="宋体" w:cs="宋体" w:eastAsia="宋体"/>
                <w:color w:val="000000"/>
                <w:sz w:val="18"/>
                <w:szCs w:val="18"/>
              </w:rPr>
            </w:r>
            <w:r/>
          </w:p>
        </w:tc>
        <w:tc>
          <w:tcPr>
            <w:tcBorders>
              <w:left w:val="single" w:sz="6" w:space="0" w:color="auto"/>
              <w:top w:val="single" w:sz="6" w:space="0" w:color="auto"/>
              <w:right w:val="single" w:sz="6" w:space="0" w:color="auto"/>
              <w:bottom w:val="single" w:sz="6" w:space="0" w:color="auto"/>
            </w:tcBorders>
            <w:tcW w:w="127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709"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6" w:space="0" w:color="auto"/>
              <w:top w:val="single" w:sz="6" w:space="0" w:color="auto"/>
              <w:right w:val="single" w:sz="6" w:space="0" w:color="auto"/>
              <w:bottom w:val="single" w:sz="6" w:space="0" w:color="auto"/>
            </w:tcBorders>
            <w:tcW w:w="127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4" w:space="0" w:color="auto"/>
              <w:bottom w:val="single" w:sz="6" w:space="0" w:color="auto"/>
            </w:tcBorders>
            <w:tcW w:w="850"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Borders>
              <w:left w:val="single" w:sz="4"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bl>
    <w:p>
      <w:pPr>
        <w:ind w:firstLine="480"/>
        <w:spacing w:before="163"/>
        <w:rPr>
          <w:rFonts w:ascii="楷体" w:hAnsi="楷体" w:eastAsia="楷体"/>
        </w:rPr>
      </w:pPr>
      <w:r>
        <w:rPr>
          <w:rFonts w:ascii="楷体" w:hAnsi="楷体" w:cs="仿宋_GB2312" w:eastAsia="楷体" w:hint="eastAsia"/>
          <w:bCs/>
        </w:rPr>
        <w:t xml:space="preserve">注：（1）兼职人员：</w:t>
      </w:r>
      <w:r>
        <w:rPr>
          <w:rFonts w:ascii="楷体" w:hAnsi="楷体" w:cs="仿宋_GB2312" w:eastAsia="楷体" w:hint="eastAsia"/>
        </w:rPr>
        <w:t xml:space="preserve">指在示范中心内承担教学、技术、管理工作的非中心编制人员。</w:t>
      </w:r>
      <w:r>
        <w:rPr>
          <w:rFonts w:ascii="楷体" w:hAnsi="楷体" w:eastAsia="楷体" w:hint="eastAsia"/>
        </w:rPr>
        <w:t xml:space="preserve">（2）</w:t>
      </w:r>
      <w:r>
        <w:rPr>
          <w:rFonts w:ascii="楷体" w:hAnsi="楷体" w:cs="宋体" w:eastAsia="楷体" w:hint="eastAsia"/>
          <w:bCs/>
        </w:rPr>
        <w:t xml:space="preserve">工作性质：</w:t>
      </w:r>
      <w:r>
        <w:rPr>
          <w:rFonts w:ascii="楷体" w:hAnsi="楷体" w:cs="仿宋_GB2312" w:eastAsia="楷体" w:hint="eastAsia"/>
          <w:bCs/>
        </w:rPr>
        <w:t xml:space="preserve">教学、技术、管理、其他。</w:t>
      </w:r>
      <w:r>
        <w:rPr>
          <w:rFonts w:ascii="楷体" w:hAnsi="楷体" w:eastAsia="楷体" w:hint="eastAsia"/>
        </w:rPr>
        <w:t xml:space="preserve">（3）</w:t>
      </w:r>
      <w:r>
        <w:rPr>
          <w:rFonts w:ascii="楷体" w:hAnsi="楷体" w:cs="宋体" w:eastAsia="楷体"/>
          <w:bCs/>
        </w:rPr>
        <w:t xml:space="preserve">学位：</w:t>
      </w:r>
      <w:r>
        <w:rPr>
          <w:rFonts w:ascii="楷体" w:hAnsi="楷体" w:eastAsia="楷体"/>
        </w:rPr>
        <w:t xml:space="preserve">博士、硕士、学士、其</w:t>
      </w:r>
      <w:r>
        <w:rPr>
          <w:rFonts w:ascii="楷体" w:hAnsi="楷体" w:eastAsia="楷体" w:hint="eastAsia"/>
        </w:rPr>
        <w:t xml:space="preserve">他</w:t>
      </w:r>
      <w:r>
        <w:rPr>
          <w:rFonts w:ascii="楷体" w:hAnsi="楷体" w:eastAsia="楷体"/>
        </w:rPr>
        <w:t xml:space="preserve">，一般以学位证书为准</w:t>
      </w:r>
      <w:r>
        <w:rPr>
          <w:rFonts w:ascii="楷体" w:hAnsi="楷体" w:eastAsia="楷体" w:hint="eastAsia"/>
        </w:rPr>
        <w:t xml:space="preserve">。（4）</w:t>
      </w:r>
      <w:r>
        <w:rPr>
          <w:rFonts w:ascii="楷体" w:hAnsi="楷体" w:eastAsia="楷体" w:hint="eastAsia"/>
          <w:bCs/>
        </w:rPr>
        <w:t xml:space="preserve">备注：</w:t>
      </w:r>
      <w:r>
        <w:rPr>
          <w:rFonts w:ascii="楷体" w:hAnsi="楷体" w:eastAsia="楷体" w:hint="eastAsia"/>
        </w:rPr>
        <w:t xml:space="preserve">是否院士、博士生导师、杰出青年基金获得者、长江学者等，获得时间。</w:t>
      </w:r>
      <w:r/>
    </w:p>
    <w:p>
      <w:pPr>
        <w:ind w:firstLine="560"/>
        <w:spacing w:after="163" w:before="163"/>
        <w:rPr>
          <w:rFonts w:ascii="黑体" w:hAnsi="黑体" w:eastAsia="黑体"/>
          <w:color w:val="44546A"/>
          <w:sz w:val="28"/>
          <w:szCs w:val="28"/>
        </w:rPr>
      </w:pPr>
      <w:r>
        <w:rPr>
          <w:rFonts w:ascii="黑体" w:hAnsi="黑体" w:eastAsia="黑体" w:hint="eastAsia"/>
          <w:color w:val="44546A" w:themeColor="text2"/>
          <w:sz w:val="28"/>
          <w:szCs w:val="28"/>
        </w:rPr>
        <w:t xml:space="preserve">（三）本年度流动人员情况</w:t>
      </w:r>
      <w:r/>
    </w:p>
    <w:tbl>
      <w:tblPr>
        <w:tblW w:w="8516" w:type="dxa"/>
        <w:tblBorders>
          <w:left w:val="single" w:sz="12" w:space="0" w:color="auto"/>
          <w:top w:val="single" w:sz="12" w:space="0" w:color="auto"/>
          <w:right w:val="single" w:sz="12" w:space="0" w:color="auto"/>
          <w:insideV w:val="single" w:sz="6" w:space="0" w:color="auto"/>
          <w:insideH w:val="single" w:sz="6" w:space="0" w:color="auto"/>
        </w:tblBorders>
        <w:tblLayout w:type="fixed"/>
        <w:tblLook w:val="04A0" w:firstRow="1" w:lastRow="0" w:firstColumn="1" w:lastColumn="0" w:noHBand="0" w:noVBand="1"/>
      </w:tblPr>
      <w:tblGrid>
        <w:gridCol w:w="675"/>
        <w:gridCol w:w="993"/>
        <w:gridCol w:w="640"/>
        <w:gridCol w:w="1202"/>
        <w:gridCol w:w="993"/>
        <w:gridCol w:w="708"/>
        <w:gridCol w:w="1237"/>
        <w:gridCol w:w="770"/>
        <w:gridCol w:w="1298"/>
      </w:tblGrid>
      <w:tr>
        <w:trPr>
          <w:trHeight w:val="582"/>
        </w:trPr>
        <w:tc>
          <w:tcPr>
            <w:tcBorders>
              <w:left w:val="single" w:sz="6" w:space="0" w:color="auto"/>
              <w:top w:val="single" w:sz="6" w:space="0" w:color="auto"/>
              <w:right w:val="single" w:sz="6" w:space="0" w:color="auto"/>
              <w:bottom w:val="single" w:sz="6" w:space="0" w:color="auto"/>
            </w:tcBorders>
            <w:tcW w:w="675"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序号</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姓名</w:t>
            </w:r>
            <w:r/>
          </w:p>
        </w:tc>
        <w:tc>
          <w:tcPr>
            <w:tcBorders>
              <w:left w:val="single" w:sz="6" w:space="0" w:color="auto"/>
              <w:top w:val="single" w:sz="6" w:space="0" w:color="auto"/>
              <w:right w:val="single" w:sz="6" w:space="0" w:color="auto"/>
              <w:bottom w:val="single" w:sz="6" w:space="0" w:color="auto"/>
            </w:tcBorders>
            <w:tcW w:w="640"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性别</w:t>
            </w:r>
            <w:r/>
          </w:p>
        </w:tc>
        <w:tc>
          <w:tcPr>
            <w:tcBorders>
              <w:left w:val="single" w:sz="6" w:space="0" w:color="auto"/>
              <w:top w:val="single" w:sz="6" w:space="0" w:color="auto"/>
              <w:right w:val="single" w:sz="6" w:space="0" w:color="auto"/>
              <w:bottom w:val="single" w:sz="6" w:space="0" w:color="auto"/>
            </w:tcBorders>
            <w:tcW w:w="1202"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出生年份</w:t>
            </w:r>
            <w:r/>
          </w:p>
        </w:tc>
        <w:tc>
          <w:tcPr>
            <w:tcBorders>
              <w:left w:val="single" w:sz="6" w:space="0" w:color="auto"/>
              <w:top w:val="single" w:sz="6" w:space="0" w:color="auto"/>
              <w:right w:val="single" w:sz="6" w:space="0" w:color="auto"/>
              <w:bottom w:val="single" w:sz="6" w:space="0" w:color="auto"/>
            </w:tcBorders>
            <w:tcW w:w="993"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职称</w:t>
            </w:r>
            <w:r/>
          </w:p>
        </w:tc>
        <w:tc>
          <w:tcPr>
            <w:tcBorders>
              <w:left w:val="single" w:sz="6" w:space="0" w:color="auto"/>
              <w:top w:val="single" w:sz="6" w:space="0" w:color="auto"/>
              <w:right w:val="single" w:sz="6" w:space="0" w:color="auto"/>
              <w:bottom w:val="single" w:sz="6" w:space="0" w:color="auto"/>
            </w:tcBorders>
            <w:tcW w:w="708"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国别</w:t>
            </w:r>
            <w:r/>
          </w:p>
        </w:tc>
        <w:tc>
          <w:tcPr>
            <w:tcBorders>
              <w:left w:val="single" w:sz="6" w:space="0" w:color="auto"/>
              <w:top w:val="single" w:sz="6" w:space="0" w:color="auto"/>
              <w:right w:val="single" w:sz="6" w:space="0" w:color="auto"/>
              <w:bottom w:val="single" w:sz="6" w:space="0" w:color="auto"/>
            </w:tcBorders>
            <w:tcW w:w="1237"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工作单位</w:t>
            </w:r>
            <w:r/>
          </w:p>
        </w:tc>
        <w:tc>
          <w:tcPr>
            <w:tcBorders>
              <w:left w:val="single" w:sz="4" w:space="0" w:color="auto"/>
              <w:top w:val="single" w:sz="6" w:space="0" w:color="auto"/>
              <w:right w:val="single" w:sz="4" w:space="0" w:color="auto"/>
              <w:bottom w:val="single" w:sz="6" w:space="0" w:color="auto"/>
            </w:tcBorders>
            <w:tcW w:w="770"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类型</w:t>
            </w:r>
            <w:r/>
          </w:p>
        </w:tc>
        <w:tc>
          <w:tcPr>
            <w:tcBorders>
              <w:left w:val="single" w:sz="4" w:space="0" w:color="auto"/>
              <w:top w:val="single" w:sz="6" w:space="0" w:color="auto"/>
              <w:right w:val="single" w:sz="6" w:space="0" w:color="auto"/>
              <w:bottom w:val="single" w:sz="6" w:space="0" w:color="auto"/>
            </w:tcBorders>
            <w:tcW w:w="1298"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工作期限</w:t>
            </w:r>
            <w:r/>
          </w:p>
        </w:tc>
      </w:tr>
      <w:tr>
        <w:trPr>
          <w:trHeight w:val="435"/>
        </w:trPr>
        <w:tc>
          <w:tcPr>
            <w:tcBorders>
              <w:left w:val="single" w:sz="6" w:space="0" w:color="auto"/>
              <w:top w:val="single" w:sz="6" w:space="0" w:color="auto"/>
              <w:right w:val="single" w:sz="6" w:space="0" w:color="auto"/>
              <w:bottom w:val="single" w:sz="6" w:space="0" w:color="auto"/>
            </w:tcBorders>
            <w:tcW w:w="675" w:type="dxa"/>
            <w:vAlign w:val="center"/>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themeColor="text1"/>
                <w:sz w:val="21"/>
                <w:szCs w:val="21"/>
              </w:rPr>
              <w:t xml:space="preserve">1</w:t>
            </w:r>
            <w:r/>
          </w:p>
        </w:tc>
        <w:tc>
          <w:tcPr>
            <w:tcBorders>
              <w:left w:val="single" w:sz="6" w:space="0" w:color="auto"/>
              <w:top w:val="single" w:sz="6" w:space="0" w:color="auto"/>
              <w:right w:val="single" w:sz="6" w:space="0" w:color="auto"/>
              <w:bottom w:val="single" w:sz="6" w:space="0" w:color="auto"/>
            </w:tcBorders>
            <w:tcW w:w="993"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6" w:space="0" w:color="auto"/>
              <w:top w:val="single" w:sz="6" w:space="0" w:color="auto"/>
              <w:right w:val="single" w:sz="6" w:space="0" w:color="auto"/>
              <w:bottom w:val="single" w:sz="6" w:space="0" w:color="auto"/>
            </w:tcBorders>
            <w:tcW w:w="640"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6" w:space="0" w:color="auto"/>
              <w:top w:val="single" w:sz="6" w:space="0" w:color="auto"/>
              <w:right w:val="single" w:sz="6" w:space="0" w:color="auto"/>
              <w:bottom w:val="single" w:sz="6" w:space="0" w:color="auto"/>
            </w:tcBorders>
            <w:tcW w:w="1202"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6" w:space="0" w:color="auto"/>
              <w:top w:val="single" w:sz="6" w:space="0" w:color="auto"/>
              <w:right w:val="single" w:sz="6" w:space="0" w:color="auto"/>
              <w:bottom w:val="single" w:sz="6" w:space="0" w:color="auto"/>
            </w:tcBorders>
            <w:tcW w:w="993"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6" w:space="0" w:color="auto"/>
              <w:top w:val="single" w:sz="6" w:space="0" w:color="auto"/>
              <w:right w:val="single" w:sz="6" w:space="0" w:color="auto"/>
              <w:bottom w:val="single" w:sz="6" w:space="0" w:color="auto"/>
            </w:tcBorders>
            <w:tcW w:w="708"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6" w:space="0" w:color="auto"/>
              <w:top w:val="single" w:sz="6" w:space="0" w:color="auto"/>
              <w:right w:val="single" w:sz="6" w:space="0" w:color="auto"/>
              <w:bottom w:val="single" w:sz="6" w:space="0" w:color="auto"/>
            </w:tcBorders>
            <w:tcW w:w="1237"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4" w:space="0" w:color="auto"/>
              <w:top w:val="single" w:sz="6" w:space="0" w:color="auto"/>
              <w:right w:val="single" w:sz="4" w:space="0" w:color="auto"/>
              <w:bottom w:val="single" w:sz="6" w:space="0" w:color="auto"/>
            </w:tcBorders>
            <w:tcW w:w="770"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c>
          <w:tcPr>
            <w:tcBorders>
              <w:left w:val="single" w:sz="4" w:space="0" w:color="auto"/>
              <w:top w:val="single" w:sz="6" w:space="0" w:color="auto"/>
              <w:right w:val="single" w:sz="6" w:space="0" w:color="auto"/>
              <w:bottom w:val="single" w:sz="6" w:space="0" w:color="auto"/>
            </w:tcBorders>
            <w:tcW w:w="1298" w:type="dxa"/>
            <w:textDirection w:val="lrTb"/>
            <w:noWrap w:val="false"/>
          </w:tcPr>
          <w:p>
            <w:pPr>
              <w:jc w:val="center"/>
              <w:rPr>
                <w:rFonts w:ascii="Times New Roman" w:hAnsi="Times New Roman" w:cs="Times New Roman" w:eastAsia="仿宋"/>
                <w:color w:val="000000"/>
                <w:sz w:val="21"/>
                <w:szCs w:val="21"/>
              </w:rPr>
            </w:pPr>
            <w:r>
              <w:rPr>
                <w:rFonts w:ascii="Times New Roman" w:hAnsi="Times New Roman" w:cs="Times New Roman" w:eastAsia="仿宋"/>
                <w:color w:val="000000"/>
                <w:sz w:val="21"/>
                <w:szCs w:val="21"/>
              </w:rPr>
            </w:r>
            <w:r/>
          </w:p>
        </w:tc>
      </w:tr>
      <w:tr>
        <w:trPr>
          <w:trHeight w:val="435"/>
        </w:trPr>
        <w:tc>
          <w:tcPr>
            <w:tcBorders>
              <w:left w:val="single" w:sz="6" w:space="0" w:color="auto"/>
              <w:top w:val="single" w:sz="6" w:space="0" w:color="auto"/>
              <w:right w:val="single" w:sz="6" w:space="0" w:color="auto"/>
              <w:bottom w:val="single" w:sz="6" w:space="0" w:color="auto"/>
            </w:tcBorders>
            <w:tcW w:w="675" w:type="dxa"/>
            <w:vAlign w:val="center"/>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themeColor="text1"/>
                <w:sz w:val="28"/>
                <w:szCs w:val="28"/>
              </w:rPr>
              <w:t xml:space="preserve">2</w:t>
            </w:r>
            <w:r/>
          </w:p>
        </w:tc>
        <w:tc>
          <w:tcPr>
            <w:tcBorders>
              <w:left w:val="single" w:sz="6" w:space="0" w:color="auto"/>
              <w:top w:val="single" w:sz="6" w:space="0" w:color="auto"/>
              <w:right w:val="single" w:sz="6" w:space="0" w:color="auto"/>
              <w:bottom w:val="single" w:sz="6" w:space="0" w:color="auto"/>
            </w:tcBorders>
            <w:tcW w:w="993"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6" w:space="0" w:color="auto"/>
              <w:top w:val="single" w:sz="6" w:space="0" w:color="auto"/>
              <w:right w:val="single" w:sz="6" w:space="0" w:color="auto"/>
              <w:bottom w:val="single" w:sz="6" w:space="0" w:color="auto"/>
            </w:tcBorders>
            <w:tcW w:w="640"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6" w:space="0" w:color="auto"/>
              <w:top w:val="single" w:sz="6" w:space="0" w:color="auto"/>
              <w:right w:val="single" w:sz="6" w:space="0" w:color="auto"/>
              <w:bottom w:val="single" w:sz="6" w:space="0" w:color="auto"/>
            </w:tcBorders>
            <w:tcW w:w="1202"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6" w:space="0" w:color="auto"/>
              <w:top w:val="single" w:sz="6" w:space="0" w:color="auto"/>
              <w:right w:val="single" w:sz="6" w:space="0" w:color="auto"/>
              <w:bottom w:val="single" w:sz="6" w:space="0" w:color="auto"/>
            </w:tcBorders>
            <w:tcW w:w="993"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6" w:space="0" w:color="auto"/>
              <w:top w:val="single" w:sz="6" w:space="0" w:color="auto"/>
              <w:right w:val="single" w:sz="6" w:space="0" w:color="auto"/>
              <w:bottom w:val="single" w:sz="6" w:space="0" w:color="auto"/>
            </w:tcBorders>
            <w:tcW w:w="708"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6" w:space="0" w:color="auto"/>
              <w:top w:val="single" w:sz="6" w:space="0" w:color="auto"/>
              <w:right w:val="single" w:sz="6" w:space="0" w:color="auto"/>
              <w:bottom w:val="single" w:sz="6" w:space="0" w:color="auto"/>
            </w:tcBorders>
            <w:tcW w:w="1237"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4" w:space="0" w:color="auto"/>
              <w:top w:val="single" w:sz="6" w:space="0" w:color="auto"/>
              <w:right w:val="single" w:sz="4" w:space="0" w:color="auto"/>
              <w:bottom w:val="single" w:sz="6" w:space="0" w:color="auto"/>
            </w:tcBorders>
            <w:tcW w:w="770"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c>
          <w:tcPr>
            <w:tcBorders>
              <w:left w:val="single" w:sz="4" w:space="0" w:color="auto"/>
              <w:top w:val="single" w:sz="6" w:space="0" w:color="auto"/>
              <w:right w:val="single" w:sz="6" w:space="0" w:color="auto"/>
              <w:bottom w:val="single" w:sz="6" w:space="0" w:color="auto"/>
            </w:tcBorders>
            <w:tcW w:w="1298" w:type="dxa"/>
            <w:textDirection w:val="lrTb"/>
            <w:noWrap w:val="false"/>
          </w:tcPr>
          <w:p>
            <w:pPr>
              <w:jc w:val="center"/>
              <w:rPr>
                <w:rFonts w:ascii="Times New Roman" w:hAnsi="Times New Roman" w:cs="Times New Roman" w:eastAsia="仿宋"/>
                <w:color w:val="000000"/>
                <w:sz w:val="28"/>
                <w:szCs w:val="28"/>
              </w:rPr>
            </w:pPr>
            <w:r>
              <w:rPr>
                <w:rFonts w:ascii="Times New Roman" w:hAnsi="Times New Roman" w:cs="Times New Roman" w:eastAsia="仿宋"/>
                <w:color w:val="000000"/>
                <w:sz w:val="28"/>
                <w:szCs w:val="28"/>
              </w:rPr>
            </w:r>
            <w:r/>
          </w:p>
        </w:tc>
      </w:tr>
    </w:tbl>
    <w:p>
      <w:pPr>
        <w:ind w:firstLine="480"/>
        <w:spacing w:before="163"/>
        <w:rPr>
          <w:rFonts w:ascii="楷体" w:hAnsi="楷体" w:eastAsia="楷体"/>
        </w:rPr>
      </w:pPr>
      <w:r>
        <w:rPr>
          <w:rFonts w:ascii="楷体" w:hAnsi="楷体" w:eastAsia="楷体" w:hint="eastAsia"/>
          <w:color w:val="000000" w:themeColor="text1"/>
        </w:rPr>
        <w:t xml:space="preserve">注：（1）流动人员：指在中心进修学习、做访问学者、</w:t>
      </w:r>
      <w:r>
        <w:rPr>
          <w:rFonts w:ascii="楷体" w:hAnsi="楷体" w:eastAsia="楷体"/>
          <w:color w:val="000000" w:themeColor="text1"/>
        </w:rPr>
        <w:t xml:space="preserve">行业企业人员、海内外合作教学人员等。</w:t>
      </w:r>
      <w:r>
        <w:rPr>
          <w:rFonts w:ascii="楷体" w:hAnsi="楷体" w:eastAsia="楷体" w:hint="eastAsia"/>
        </w:rPr>
        <w:t xml:space="preserve">（2）工作期限：在示范中心工作的协议起止时间。</w:t>
      </w:r>
      <w:r/>
    </w:p>
    <w:p>
      <w:pPr>
        <w:numPr>
          <w:ilvl w:val="0"/>
          <w:numId w:val="1"/>
        </w:numPr>
        <w:ind w:firstLine="560"/>
        <w:spacing w:after="163" w:before="163"/>
        <w:rPr>
          <w:rFonts w:ascii="黑体" w:hAnsi="黑体" w:cs="仿宋_GB2312" w:eastAsia="黑体"/>
          <w:bCs/>
          <w:sz w:val="28"/>
          <w:szCs w:val="28"/>
        </w:rPr>
      </w:pPr>
      <w:r>
        <w:rPr>
          <w:rFonts w:ascii="黑体" w:hAnsi="黑体" w:eastAsia="黑体" w:hint="eastAsia"/>
          <w:sz w:val="28"/>
          <w:szCs w:val="28"/>
        </w:rPr>
        <w:t xml:space="preserve">本年度</w:t>
      </w:r>
      <w:r>
        <w:rPr>
          <w:rFonts w:ascii="黑体" w:hAnsi="黑体" w:cs="仿宋_GB2312" w:eastAsia="黑体" w:hint="eastAsia"/>
          <w:bCs/>
          <w:sz w:val="28"/>
          <w:szCs w:val="28"/>
        </w:rPr>
        <w:t xml:space="preserve">教学指导委员会人员情况</w:t>
      </w:r>
      <w:r/>
    </w:p>
    <w:tbl>
      <w:tblPr>
        <w:tblW w:w="5146" w:type="pct"/>
        <w:tblBorders>
          <w:left w:val="single" w:sz="12" w:space="0" w:color="auto"/>
          <w:top w:val="single" w:sz="12" w:space="0" w:color="auto"/>
          <w:right w:val="single" w:sz="12" w:space="0" w:color="auto"/>
          <w:insideV w:val="single" w:sz="6" w:space="0" w:color="auto"/>
          <w:insideH w:val="single" w:sz="6" w:space="0" w:color="auto"/>
        </w:tblBorders>
        <w:tblLayout w:type="fixed"/>
        <w:tblLook w:val="04A0" w:firstRow="1" w:lastRow="0" w:firstColumn="1" w:lastColumn="0" w:noHBand="0" w:noVBand="1"/>
      </w:tblPr>
      <w:tblGrid>
        <w:gridCol w:w="794"/>
        <w:gridCol w:w="903"/>
        <w:gridCol w:w="671"/>
        <w:gridCol w:w="961"/>
        <w:gridCol w:w="902"/>
        <w:gridCol w:w="662"/>
        <w:gridCol w:w="959"/>
        <w:gridCol w:w="835"/>
        <w:gridCol w:w="631"/>
        <w:gridCol w:w="1797"/>
      </w:tblGrid>
      <w:tr>
        <w:trPr>
          <w:trHeight w:val="568"/>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序号</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姓名</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性别</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出生</w:t>
            </w:r>
            <w:r/>
          </w:p>
          <w:p>
            <w:pPr>
              <w:jc w:val="center"/>
              <w:rPr>
                <w:rFonts w:ascii="仿宋" w:hAnsi="仿宋" w:cs="宋体" w:eastAsia="仿宋"/>
                <w:b/>
                <w:bCs/>
              </w:rPr>
            </w:pPr>
            <w:r>
              <w:rPr>
                <w:rFonts w:ascii="仿宋" w:hAnsi="仿宋" w:cs="宋体" w:eastAsia="仿宋" w:hint="eastAsia"/>
                <w:b/>
                <w:bCs/>
              </w:rPr>
              <w:t xml:space="preserve">年份</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职称</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职务</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工作</w:t>
            </w:r>
            <w:r/>
          </w:p>
          <w:p>
            <w:pPr>
              <w:jc w:val="center"/>
              <w:rPr>
                <w:rFonts w:ascii="仿宋" w:hAnsi="仿宋" w:cs="宋体" w:eastAsia="仿宋"/>
                <w:b/>
                <w:bCs/>
              </w:rPr>
            </w:pPr>
            <w:r>
              <w:rPr>
                <w:rFonts w:ascii="仿宋" w:hAnsi="仿宋" w:cs="宋体" w:eastAsia="仿宋" w:hint="eastAsia"/>
                <w:b/>
                <w:bCs/>
              </w:rPr>
              <w:t xml:space="preserve">单位</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类型</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国籍</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任期时间段</w:t>
            </w:r>
            <w:r/>
          </w:p>
        </w:tc>
      </w:tr>
      <w:tr>
        <w:trPr>
          <w:trHeight w:val="568"/>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1</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邱红梅</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1978.02</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主任委员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37"/>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2</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于超</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男</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仿宋" w:hAnsi="仿宋" w:eastAsia="仿宋"/>
                <w:sz w:val="28"/>
                <w:szCs w:val="28"/>
              </w:rPr>
            </w:pPr>
            <w:r>
              <w:rPr>
                <w:rFonts w:ascii="Times New Roman" w:hAnsi="Times New Roman" w:cs="Times New Roman" w:eastAsia="仿宋"/>
                <w:sz w:val="21"/>
                <w:szCs w:val="21"/>
              </w:rPr>
              <w:t xml:space="preserve">1963</w:t>
            </w:r>
            <w:r>
              <w:rPr>
                <w:rFonts w:ascii="Times New Roman" w:hAnsi="Times New Roman" w:cs="Times New Roman" w:eastAsia="仿宋" w:hint="eastAsia"/>
                <w:sz w:val="21"/>
                <w:szCs w:val="21"/>
              </w:rPr>
              <w:t xml:space="preserve">.</w:t>
            </w:r>
            <w:r>
              <w:rPr>
                <w:rFonts w:ascii="Times New Roman" w:hAnsi="Times New Roman" w:cs="Times New Roman" w:eastAsia="仿宋"/>
                <w:sz w:val="21"/>
                <w:szCs w:val="21"/>
              </w:rPr>
              <w:t xml:space="preserve">0</w:t>
            </w:r>
            <w:r>
              <w:rPr>
                <w:rFonts w:ascii="Times New Roman" w:hAnsi="Times New Roman" w:cs="Times New Roman" w:eastAsia="仿宋" w:hint="eastAsia"/>
                <w:sz w:val="21"/>
                <w:szCs w:val="21"/>
              </w:rPr>
              <w:t xml:space="preserve">9</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37"/>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3</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母昭德</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196</w:t>
            </w:r>
            <w:r>
              <w:rPr>
                <w:rFonts w:ascii="Times New Roman" w:hAnsi="Times New Roman" w:cs="Times New Roman" w:eastAsia="仿宋" w:hint="eastAsia"/>
                <w:sz w:val="21"/>
                <w:szCs w:val="21"/>
              </w:rPr>
              <w:t xml:space="preserve">6.11</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37"/>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4</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杨俊卿</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男</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1969.07</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51"/>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5</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周维英</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1978.02</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51"/>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6</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甘宗捷</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男</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1985.11</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副教授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51"/>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7</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白丽娟</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1986.03</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副教授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51"/>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8</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陈华黎</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1985.04</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副教授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r>
        <w:trPr>
          <w:trHeight w:val="351"/>
        </w:trPr>
        <w:tc>
          <w:tcPr>
            <w:shd w:val="clear" w:color="auto" w:fill="auto"/>
            <w:tcBorders>
              <w:left w:val="single" w:sz="6" w:space="0" w:color="auto"/>
              <w:top w:val="single" w:sz="6" w:space="0" w:color="auto"/>
              <w:right w:val="single" w:sz="6" w:space="0" w:color="auto"/>
              <w:bottom w:val="single" w:sz="6" w:space="0" w:color="auto"/>
            </w:tcBorders>
            <w:tcW w:w="43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sz w:val="21"/>
                <w:szCs w:val="21"/>
              </w:rPr>
              <w:t xml:space="preserve">9</w:t>
            </w:r>
            <w:r/>
          </w:p>
        </w:tc>
        <w:tc>
          <w:tcPr>
            <w:shd w:val="clear" w:color="auto" w:fill="auto"/>
            <w:tcBorders>
              <w:left w:val="single" w:sz="6" w:space="0" w:color="auto"/>
              <w:top w:val="single" w:sz="6" w:space="0" w:color="auto"/>
              <w:right w:val="single" w:sz="6" w:space="0" w:color="auto"/>
              <w:bottom w:val="single" w:sz="6" w:space="0" w:color="auto"/>
            </w:tcBorders>
            <w:tcW w:w="495"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何丹</w:t>
            </w:r>
            <w:r/>
          </w:p>
        </w:tc>
        <w:tc>
          <w:tcPr>
            <w:shd w:val="clear" w:color="auto" w:fill="auto"/>
            <w:tcBorders>
              <w:left w:val="single" w:sz="6" w:space="0" w:color="auto"/>
              <w:top w:val="single" w:sz="6" w:space="0" w:color="auto"/>
              <w:right w:val="single" w:sz="6" w:space="0" w:color="auto"/>
              <w:bottom w:val="single" w:sz="6" w:space="0" w:color="auto"/>
            </w:tcBorders>
            <w:tcW w:w="368" w:type="pct"/>
            <w:vAlign w:val="center"/>
            <w:textDirection w:val="lrTb"/>
            <w:noWrap w:val="false"/>
          </w:tcPr>
          <w:p>
            <w:pPr>
              <w:jc w:val="center"/>
              <w:rPr>
                <w:rFonts w:ascii="仿宋" w:hAnsi="仿宋" w:eastAsia="仿宋"/>
                <w:sz w:val="21"/>
                <w:szCs w:val="21"/>
              </w:rPr>
            </w:pPr>
            <w:r>
              <w:rPr>
                <w:rFonts w:ascii="仿宋" w:hAnsi="仿宋" w:eastAsia="仿宋" w:hint="eastAsia"/>
                <w:sz w:val="21"/>
                <w:szCs w:val="21"/>
              </w:rPr>
              <w:t xml:space="preserve">女</w:t>
            </w:r>
            <w:r/>
          </w:p>
        </w:tc>
        <w:tc>
          <w:tcPr>
            <w:shd w:val="clear" w:color="auto" w:fill="auto"/>
            <w:tcBorders>
              <w:left w:val="single" w:sz="6" w:space="0" w:color="auto"/>
              <w:top w:val="single" w:sz="6" w:space="0" w:color="auto"/>
              <w:right w:val="single" w:sz="6" w:space="0" w:color="auto"/>
              <w:bottom w:val="single" w:sz="6" w:space="0" w:color="auto"/>
            </w:tcBorders>
            <w:tcW w:w="526"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1977.06</w:t>
            </w:r>
            <w:r/>
          </w:p>
        </w:tc>
        <w:tc>
          <w:tcPr>
            <w:shd w:val="clear" w:color="auto" w:fill="auto"/>
            <w:tcBorders>
              <w:left w:val="single" w:sz="6" w:space="0" w:color="auto"/>
              <w:top w:val="single" w:sz="6" w:space="0" w:color="auto"/>
              <w:right w:val="single" w:sz="6" w:space="0" w:color="auto"/>
              <w:bottom w:val="single" w:sz="6" w:space="0" w:color="auto"/>
            </w:tcBorders>
            <w:tcW w:w="494"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副教授</w:t>
            </w:r>
            <w:r/>
          </w:p>
        </w:tc>
        <w:tc>
          <w:tcPr>
            <w:shd w:val="clear" w:color="auto" w:fill="auto"/>
            <w:tcBorders>
              <w:left w:val="single" w:sz="6" w:space="0" w:color="auto"/>
              <w:top w:val="single" w:sz="6" w:space="0" w:color="auto"/>
              <w:right w:val="single" w:sz="6" w:space="0" w:color="auto"/>
              <w:bottom w:val="single" w:sz="6" w:space="0" w:color="auto"/>
            </w:tcBorders>
            <w:tcW w:w="363" w:type="pct"/>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委员</w:t>
            </w:r>
            <w:r/>
          </w:p>
        </w:tc>
        <w:tc>
          <w:tcPr>
            <w:shd w:val="clear" w:color="auto" w:fill="auto"/>
            <w:tcBorders>
              <w:left w:val="single" w:sz="6" w:space="0" w:color="auto"/>
              <w:top w:val="single" w:sz="6" w:space="0" w:color="auto"/>
              <w:right w:val="single" w:sz="6" w:space="0" w:color="auto"/>
              <w:bottom w:val="single" w:sz="6" w:space="0" w:color="auto"/>
            </w:tcBorders>
            <w:tcW w:w="525"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spacing w:val="-11"/>
                <w:sz w:val="21"/>
                <w:szCs w:val="21"/>
              </w:rPr>
              <w:t xml:space="preserve">重医</w:t>
            </w:r>
            <w:r/>
          </w:p>
          <w:p>
            <w:pPr>
              <w:jc w:val="center"/>
              <w:rPr>
                <w:rFonts w:ascii="仿宋" w:hAnsi="仿宋" w:eastAsia="仿宋"/>
                <w:sz w:val="28"/>
                <w:szCs w:val="28"/>
              </w:rPr>
            </w:pPr>
            <w:r>
              <w:rPr>
                <w:rFonts w:ascii="Times New Roman" w:hAnsi="Times New Roman" w:cs="Times New Roman" w:eastAsia="仿宋" w:hint="eastAsia"/>
                <w:spacing w:val="-11"/>
                <w:sz w:val="21"/>
                <w:szCs w:val="21"/>
              </w:rPr>
              <w:t xml:space="preserve">药学院</w:t>
            </w:r>
            <w:r/>
          </w:p>
        </w:tc>
        <w:tc>
          <w:tcPr>
            <w:shd w:val="clear" w:color="auto" w:fill="auto"/>
            <w:tcBorders>
              <w:left w:val="single" w:sz="4" w:space="0" w:color="auto"/>
              <w:top w:val="single" w:sz="6" w:space="0" w:color="auto"/>
              <w:right w:val="single" w:sz="4" w:space="0" w:color="auto"/>
              <w:bottom w:val="single" w:sz="6" w:space="0" w:color="auto"/>
            </w:tcBorders>
            <w:tcW w:w="457"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校内</w:t>
            </w:r>
            <w:r/>
          </w:p>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专家</w:t>
            </w:r>
            <w:r/>
          </w:p>
        </w:tc>
        <w:tc>
          <w:tcPr>
            <w:shd w:val="clear" w:color="auto" w:fill="auto"/>
            <w:tcBorders>
              <w:left w:val="single" w:sz="4" w:space="0" w:color="auto"/>
              <w:top w:val="single" w:sz="6" w:space="0" w:color="auto"/>
              <w:right w:val="single" w:sz="6" w:space="0" w:color="auto"/>
              <w:bottom w:val="single" w:sz="6" w:space="0" w:color="auto"/>
            </w:tcBorders>
            <w:tcW w:w="346" w:type="pct"/>
            <w:vAlign w:val="center"/>
            <w:textDirection w:val="lrTb"/>
            <w:noWrap w:val="false"/>
          </w:tcPr>
          <w:p>
            <w:pPr>
              <w:jc w:val="center"/>
              <w:rPr>
                <w:rFonts w:ascii="Times New Roman" w:hAnsi="Times New Roman" w:cs="Times New Roman" w:eastAsia="仿宋"/>
                <w:spacing w:val="-11"/>
                <w:sz w:val="21"/>
                <w:szCs w:val="21"/>
              </w:rPr>
            </w:pPr>
            <w:r>
              <w:rPr>
                <w:rFonts w:ascii="Times New Roman" w:hAnsi="Times New Roman" w:cs="Times New Roman" w:eastAsia="仿宋" w:hint="eastAsia"/>
                <w:spacing w:val="-11"/>
                <w:sz w:val="21"/>
                <w:szCs w:val="21"/>
              </w:rPr>
              <w:t xml:space="preserve">中国</w:t>
            </w:r>
            <w:r/>
          </w:p>
        </w:tc>
        <w:tc>
          <w:tcPr>
            <w:shd w:val="clear" w:color="auto" w:fill="auto"/>
            <w:tcBorders>
              <w:left w:val="single" w:sz="4" w:space="0" w:color="auto"/>
              <w:top w:val="single" w:sz="6" w:space="0" w:color="auto"/>
              <w:right w:val="single" w:sz="6" w:space="0" w:color="auto"/>
              <w:bottom w:val="single" w:sz="6" w:space="0" w:color="auto"/>
            </w:tcBorders>
            <w:tcW w:w="985" w:type="pct"/>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2022.01</w:t>
            </w:r>
            <w:r>
              <w:rPr>
                <w:rFonts w:ascii="Times New Roman" w:hAnsi="Times New Roman" w:cs="Times New Roman" w:eastAsia="仿宋"/>
                <w:sz w:val="21"/>
                <w:szCs w:val="21"/>
              </w:rPr>
              <w:t xml:space="preserve">~</w:t>
            </w:r>
            <w:r>
              <w:rPr>
                <w:rFonts w:ascii="Times New Roman" w:hAnsi="Times New Roman" w:cs="Times New Roman" w:eastAsia="仿宋" w:hint="eastAsia"/>
                <w:sz w:val="21"/>
                <w:szCs w:val="21"/>
              </w:rPr>
              <w:t xml:space="preserve">2023.01</w:t>
            </w:r>
            <w:r/>
          </w:p>
        </w:tc>
      </w:tr>
    </w:tbl>
    <w:p>
      <w:pPr>
        <w:spacing w:before="163"/>
        <w:rPr>
          <w:rFonts w:ascii="黑体" w:hAnsi="黑体" w:eastAsia="黑体"/>
          <w:b/>
          <w:bCs/>
          <w:sz w:val="32"/>
          <w:szCs w:val="32"/>
        </w:rPr>
      </w:pPr>
      <w:r>
        <w:rPr>
          <w:rFonts w:ascii="楷体" w:hAnsi="楷体" w:cs="仿宋_GB2312" w:eastAsia="楷体" w:hint="eastAsia"/>
          <w:bCs/>
        </w:rPr>
        <w:t xml:space="preserve">注：（1）教学指导委员会类型包括校内专家、外校专家、企业专家和外籍专家。（2）职务：包括主任委员和委员两类。（3）参会次数：年度内参加教学指导委员会会议的次数。</w:t>
      </w:r>
      <w:r/>
    </w:p>
    <w:p>
      <w:pPr>
        <w:ind w:firstLine="643"/>
        <w:rPr>
          <w:rFonts w:ascii="黑体" w:hAnsi="黑体" w:eastAsia="黑体"/>
          <w:b/>
          <w:bCs/>
          <w:sz w:val="32"/>
          <w:szCs w:val="32"/>
        </w:rPr>
      </w:pPr>
      <w:r>
        <w:rPr>
          <w:rFonts w:ascii="黑体" w:hAnsi="黑体" w:eastAsia="黑体" w:hint="eastAsia"/>
          <w:b/>
          <w:bCs/>
          <w:sz w:val="32"/>
          <w:szCs w:val="32"/>
        </w:rPr>
        <w:t xml:space="preserve">三、人才培养情况</w:t>
      </w:r>
      <w:r/>
    </w:p>
    <w:p>
      <w:pPr>
        <w:ind w:firstLine="560"/>
        <w:spacing w:after="163"/>
        <w:rPr>
          <w:rFonts w:ascii="黑体" w:hAnsi="黑体" w:eastAsia="黑体"/>
          <w:bCs/>
          <w:sz w:val="28"/>
          <w:szCs w:val="28"/>
        </w:rPr>
      </w:pPr>
      <w:r/>
      <w:bookmarkStart w:id="109" w:name="示范中心实验教学面向所在学校专业及学生情况"/>
      <w:r/>
      <w:bookmarkEnd w:id="109"/>
      <w:r>
        <w:rPr>
          <w:rFonts w:ascii="黑体" w:hAnsi="黑体" w:eastAsia="黑体" w:hint="eastAsia"/>
          <w:bCs/>
          <w:sz w:val="28"/>
          <w:szCs w:val="28"/>
        </w:rPr>
        <w:t xml:space="preserve">（一）示范中心实验教学面向所在学校专业及学生情况</w:t>
      </w:r>
      <w:r/>
    </w:p>
    <w:tbl>
      <w:tblPr>
        <w:tblStyle w:val="406"/>
        <w:tblW w:w="8516" w:type="dxa"/>
        <w:jc w:val="center"/>
        <w:tblLayout w:type="fixed"/>
        <w:tblLook w:val="04A0" w:firstRow="1" w:lastRow="0" w:firstColumn="1" w:lastColumn="0" w:noHBand="0" w:noVBand="1"/>
      </w:tblPr>
      <w:tblGrid>
        <w:gridCol w:w="986"/>
        <w:gridCol w:w="3350"/>
        <w:gridCol w:w="1603"/>
        <w:gridCol w:w="1458"/>
        <w:gridCol w:w="1119"/>
      </w:tblGrid>
      <w:tr>
        <w:trPr>
          <w:jc w:val="center"/>
          <w:trHeight w:val="497"/>
        </w:trPr>
        <w:tc>
          <w:tcPr>
            <w:tcW w:w="986" w:type="dxa"/>
            <w:vAlign w:val="center"/>
            <w:vMerge w:val="restart"/>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序号</w:t>
            </w:r>
            <w:r/>
          </w:p>
        </w:tc>
        <w:tc>
          <w:tcPr>
            <w:gridSpan w:val="2"/>
            <w:tcW w:w="4953" w:type="dxa"/>
            <w:vAlign w:val="center"/>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面向的专业</w:t>
            </w:r>
            <w:r/>
          </w:p>
        </w:tc>
        <w:tc>
          <w:tcPr>
            <w:tcW w:w="1458" w:type="dxa"/>
            <w:vAlign w:val="center"/>
            <w:vMerge w:val="restart"/>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学生人数</w:t>
            </w:r>
            <w:r/>
          </w:p>
        </w:tc>
        <w:tc>
          <w:tcPr>
            <w:tcW w:w="1119" w:type="dxa"/>
            <w:vAlign w:val="center"/>
            <w:vMerge w:val="restart"/>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人时数</w:t>
            </w:r>
            <w:r/>
          </w:p>
        </w:tc>
      </w:tr>
      <w:tr>
        <w:trPr>
          <w:jc w:val="center"/>
          <w:trHeight w:val="561"/>
        </w:trPr>
        <w:tc>
          <w:tcPr>
            <w:tcW w:w="986" w:type="dxa"/>
            <w:vMerge w:val="continue"/>
            <w:textDirection w:val="lrTb"/>
            <w:noWrap w:val="false"/>
          </w:tcPr>
          <w:p>
            <w:pPr>
              <w:rPr>
                <w:rFonts w:ascii="仿宋" w:hAnsi="仿宋" w:eastAsia="仿宋"/>
                <w:b/>
                <w:bCs/>
                <w:color w:val="000000"/>
                <w:sz w:val="28"/>
                <w:szCs w:val="28"/>
              </w:rPr>
            </w:pPr>
            <w:r>
              <w:rPr>
                <w:rFonts w:ascii="仿宋" w:hAnsi="仿宋" w:eastAsia="仿宋"/>
                <w:b/>
                <w:bCs/>
                <w:color w:val="000000"/>
                <w:sz w:val="28"/>
                <w:szCs w:val="28"/>
              </w:rPr>
            </w:r>
            <w:r/>
          </w:p>
        </w:tc>
        <w:tc>
          <w:tcPr>
            <w:tcW w:w="3350" w:type="dxa"/>
            <w:vAlign w:val="center"/>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专业名称</w:t>
            </w:r>
            <w:r/>
          </w:p>
        </w:tc>
        <w:tc>
          <w:tcPr>
            <w:tcW w:w="1603" w:type="dxa"/>
            <w:vAlign w:val="center"/>
            <w:textDirection w:val="lrTb"/>
            <w:noWrap w:val="false"/>
          </w:tcPr>
          <w:p>
            <w:pPr>
              <w:jc w:val="center"/>
              <w:rPr>
                <w:rFonts w:ascii="黑体" w:hAnsi="黑体" w:eastAsia="黑体"/>
                <w:bCs/>
                <w:color w:val="000000"/>
              </w:rPr>
            </w:pPr>
            <w:r>
              <w:rPr>
                <w:rFonts w:ascii="黑体" w:hAnsi="黑体" w:eastAsia="黑体" w:hint="eastAsia"/>
                <w:bCs/>
                <w:color w:val="000000" w:themeColor="text1"/>
              </w:rPr>
              <w:t xml:space="preserve">年级</w:t>
            </w:r>
            <w:r/>
          </w:p>
        </w:tc>
        <w:tc>
          <w:tcPr>
            <w:tcW w:w="1458" w:type="dxa"/>
            <w:vMerge w:val="continue"/>
            <w:textDirection w:val="lrTb"/>
            <w:noWrap w:val="false"/>
          </w:tcPr>
          <w:p>
            <w:pPr>
              <w:rPr>
                <w:rFonts w:ascii="仿宋" w:hAnsi="仿宋" w:eastAsia="仿宋"/>
                <w:b/>
                <w:bCs/>
                <w:color w:val="000000"/>
                <w:sz w:val="28"/>
                <w:szCs w:val="28"/>
              </w:rPr>
            </w:pPr>
            <w:r>
              <w:rPr>
                <w:rFonts w:ascii="仿宋" w:hAnsi="仿宋" w:eastAsia="仿宋"/>
                <w:b/>
                <w:bCs/>
                <w:color w:val="000000"/>
                <w:sz w:val="28"/>
                <w:szCs w:val="28"/>
              </w:rPr>
            </w:r>
            <w:r/>
          </w:p>
        </w:tc>
        <w:tc>
          <w:tcPr>
            <w:tcW w:w="1119" w:type="dxa"/>
            <w:vMerge w:val="continue"/>
            <w:textDirection w:val="lrTb"/>
            <w:noWrap w:val="false"/>
          </w:tcPr>
          <w:p>
            <w:pPr>
              <w:rPr>
                <w:rFonts w:ascii="仿宋" w:hAnsi="仿宋" w:eastAsia="仿宋"/>
                <w:b/>
                <w:bCs/>
                <w:color w:val="000000"/>
                <w:sz w:val="28"/>
                <w:szCs w:val="28"/>
              </w:rPr>
            </w:pPr>
            <w:r>
              <w:rPr>
                <w:rFonts w:ascii="仿宋" w:hAnsi="仿宋" w:eastAsia="仿宋"/>
                <w:b/>
                <w:bCs/>
                <w:color w:val="000000"/>
                <w:sz w:val="28"/>
                <w:szCs w:val="28"/>
              </w:rPr>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临床药学本科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2019</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75</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4200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药物制剂本科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2019</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51</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9792</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药学本科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2019</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51</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6560</w:t>
            </w:r>
            <w:r/>
          </w:p>
        </w:tc>
      </w:tr>
    </w:tbl>
    <w:tbl>
      <w:tblPr>
        <w:tblW w:w="8516" w:type="dxa"/>
        <w:jc w:val="center"/>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Layout w:type="fixed"/>
        <w:tblLook w:val="04A0" w:firstRow="1" w:lastRow="0" w:firstColumn="1" w:lastColumn="0" w:noHBand="0" w:noVBand="1"/>
      </w:tblPr>
      <w:tblGrid>
        <w:gridCol w:w="986"/>
        <w:gridCol w:w="3350"/>
        <w:gridCol w:w="1603"/>
        <w:gridCol w:w="1458"/>
        <w:gridCol w:w="1119"/>
      </w:tblGrid>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4</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临床药学本科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2020</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70</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1120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5</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药物制剂本科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2020</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48</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7800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6</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药学本科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2020</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39</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8040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7</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儿科本科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6464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8</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法医本科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1344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9</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基础医学</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1376</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10</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口腔医学技术本科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37</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1184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11</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临床本科（定向）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2336</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12</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临床本科二系</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181</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5792</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13</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临床本科一系1班</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5824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14</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临床本科一系2班</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177</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5664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15</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麻醉本科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173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5536</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16</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临床药学本科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78</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7488</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17</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药物制剂本科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46</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5232</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18</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药学本科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45</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4552</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19</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医学检验技术本科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139</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3336</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20</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医学实验技术本科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1024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21</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影像本科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175</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5600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22</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预防本科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120</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3840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23</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中药本科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54</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4320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24</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中药制药本科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2021</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58</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4688</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25</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儿科本科</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204</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6528</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26</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法医本科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1376</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27</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基础医学</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47</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1504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28</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口腔医学技术本科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34</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1088</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29</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临床本科（定向）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57</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1824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30</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临床本科二系</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5824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31</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临床本科一系1班</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182</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5824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32</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临床本科一系2班</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181</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5792</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33</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临床药学本科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80</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3200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34</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药物制剂本科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44</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2464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35</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药学本科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44</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2464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36</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医学实验技术本科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40</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1280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37</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影像本科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179</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5728</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38</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预防本科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127</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4064</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39</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中药本科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63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2520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40</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中药制药本科</w:t>
            </w:r>
            <w:r/>
          </w:p>
        </w:tc>
        <w:tc>
          <w:tcPr>
            <w:tcW w:w="1603" w:type="dxa"/>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2022</w:t>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63</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2520</w:t>
            </w:r>
            <w:r/>
          </w:p>
        </w:tc>
      </w:tr>
      <w:tr>
        <w:trPr>
          <w:jc w:val="center"/>
          <w:trHeight w:val="553"/>
        </w:trPr>
        <w:tc>
          <w:tcPr>
            <w:tcW w:w="986" w:type="dxa"/>
            <w:vAlign w:val="center"/>
            <w:textDirection w:val="lrTb"/>
            <w:noWrap w:val="false"/>
          </w:tcPr>
          <w:p>
            <w:pPr>
              <w:jc w:val="center"/>
              <w:rPr>
                <w:rFonts w:ascii="楷体" w:hAnsi="楷体" w:eastAsia="楷体"/>
                <w:b/>
                <w:bCs/>
              </w:rPr>
            </w:pPr>
            <w:r>
              <w:rPr>
                <w:rFonts w:ascii="楷体" w:hAnsi="楷体" w:eastAsia="楷体" w:hint="eastAsia"/>
                <w:b/>
                <w:bCs/>
              </w:rPr>
              <w:t xml:space="preserve">41</w:t>
            </w:r>
            <w:r/>
          </w:p>
        </w:tc>
        <w:tc>
          <w:tcPr>
            <w:tcW w:w="3350"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重补修</w:t>
            </w:r>
            <w:r/>
          </w:p>
        </w:tc>
        <w:tc>
          <w:tcPr>
            <w:tcW w:w="1603" w:type="dxa"/>
            <w:vAlign w:val="center"/>
            <w:textDirection w:val="lrTb"/>
            <w:noWrap w:val="false"/>
          </w:tcPr>
          <w:p>
            <w:pPr>
              <w:jc w:val="center"/>
              <w:rPr>
                <w:rFonts w:ascii="仿宋" w:hAnsi="仿宋" w:eastAsia="仿宋"/>
                <w:b/>
                <w:bCs/>
                <w:sz w:val="28"/>
                <w:szCs w:val="28"/>
              </w:rPr>
            </w:pPr>
            <w:r>
              <w:rPr>
                <w:rFonts w:ascii="仿宋" w:hAnsi="仿宋" w:eastAsia="仿宋"/>
                <w:b/>
                <w:bCs/>
                <w:sz w:val="28"/>
                <w:szCs w:val="28"/>
              </w:rPr>
            </w:r>
            <w:r/>
          </w:p>
        </w:tc>
        <w:tc>
          <w:tcPr>
            <w:tcW w:w="1458"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58</w:t>
            </w:r>
            <w:r/>
          </w:p>
        </w:tc>
        <w:tc>
          <w:tcPr>
            <w:tcW w:w="1119" w:type="dxa"/>
            <w:vAlign w:val="center"/>
            <w:textDirection w:val="lrTb"/>
            <w:noWrap w:val="false"/>
          </w:tcPr>
          <w:p>
            <w:pPr>
              <w:jc w:val="center"/>
              <w:rPr>
                <w:rFonts w:ascii="仿宋" w:hAnsi="仿宋" w:eastAsia="仿宋"/>
                <w:b/>
                <w:bCs/>
                <w:sz w:val="28"/>
                <w:szCs w:val="28"/>
              </w:rPr>
            </w:pPr>
            <w:r>
              <w:rPr>
                <w:rFonts w:ascii="仿宋" w:hAnsi="仿宋" w:eastAsia="仿宋" w:hint="eastAsia"/>
                <w:b/>
                <w:bCs/>
                <w:sz w:val="28"/>
                <w:szCs w:val="28"/>
              </w:rPr>
              <w:t xml:space="preserve">1856</w:t>
            </w:r>
            <w:r/>
          </w:p>
        </w:tc>
      </w:tr>
    </w:tbl>
    <w:p>
      <w:pPr>
        <w:ind w:firstLine="240"/>
        <w:rPr>
          <w:rFonts w:ascii="楷体" w:hAnsi="楷体" w:eastAsia="楷体"/>
          <w:bCs/>
        </w:rPr>
      </w:pPr>
      <w:r>
        <w:rPr>
          <w:rFonts w:ascii="楷体" w:hAnsi="楷体" w:eastAsia="楷体" w:hint="eastAsia"/>
          <w:bCs/>
        </w:rPr>
        <w:t xml:space="preserve">注：面向的本校专业：实验教学内容列入专业人才培养方案的专业。</w:t>
      </w:r>
      <w:r/>
    </w:p>
    <w:p>
      <w:pPr>
        <w:ind w:firstLine="560"/>
        <w:spacing w:after="163" w:before="163"/>
        <w:rPr>
          <w:rFonts w:ascii="黑体" w:hAnsi="黑体" w:eastAsia="黑体"/>
          <w:bCs/>
          <w:sz w:val="28"/>
          <w:szCs w:val="28"/>
        </w:rPr>
      </w:pPr>
      <w:r>
        <w:rPr>
          <w:rFonts w:ascii="黑体" w:hAnsi="黑体" w:eastAsia="黑体" w:hint="eastAsia"/>
          <w:bCs/>
          <w:sz w:val="28"/>
          <w:szCs w:val="28"/>
        </w:rPr>
        <w:t xml:space="preserve">（二）实验教学资源情况</w:t>
      </w:r>
      <w:r/>
    </w:p>
    <w:tbl>
      <w:tblPr>
        <w:tblStyle w:val="406"/>
        <w:tblW w:w="8516" w:type="dxa"/>
        <w:tblLayout w:type="fixed"/>
        <w:tblLook w:val="04A0" w:firstRow="1" w:lastRow="0" w:firstColumn="1" w:lastColumn="0" w:noHBand="0" w:noVBand="1"/>
      </w:tblPr>
      <w:tblGrid>
        <w:gridCol w:w="4478"/>
        <w:gridCol w:w="4038"/>
      </w:tblGrid>
      <w:tr>
        <w:trPr>
          <w:trHeight w:val="395"/>
        </w:trPr>
        <w:tc>
          <w:tcPr>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实验项目资源总数</w:t>
            </w:r>
            <w:r/>
          </w:p>
        </w:tc>
        <w:tc>
          <w:tcPr>
            <w:tcW w:w="4038" w:type="dxa"/>
            <w:textDirection w:val="lrTb"/>
            <w:noWrap w:val="false"/>
          </w:tcPr>
          <w:p>
            <w:pPr>
              <w:jc w:val="right"/>
              <w:rPr>
                <w:rFonts w:ascii="黑体" w:hAnsi="黑体" w:eastAsia="黑体"/>
                <w:bCs/>
              </w:rPr>
            </w:pPr>
            <w:r>
              <w:rPr>
                <w:rFonts w:ascii="黑体" w:hAnsi="黑体" w:eastAsia="黑体" w:hint="eastAsia"/>
                <w:bCs/>
              </w:rPr>
              <w:t xml:space="preserve">166个</w:t>
            </w:r>
            <w:r/>
          </w:p>
        </w:tc>
      </w:tr>
      <w:tr>
        <w:trPr>
          <w:trHeight w:val="395"/>
        </w:trPr>
        <w:tc>
          <w:tcPr>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年度开设实验项目数</w:t>
            </w:r>
            <w:r/>
          </w:p>
        </w:tc>
        <w:tc>
          <w:tcPr>
            <w:tcW w:w="4038" w:type="dxa"/>
            <w:textDirection w:val="lrTb"/>
            <w:noWrap w:val="false"/>
          </w:tcPr>
          <w:p>
            <w:pPr>
              <w:jc w:val="right"/>
              <w:rPr>
                <w:rFonts w:ascii="黑体" w:hAnsi="黑体" w:eastAsia="黑体"/>
                <w:bCs/>
              </w:rPr>
            </w:pPr>
            <w:r>
              <w:rPr>
                <w:rFonts w:ascii="黑体" w:hAnsi="黑体" w:eastAsia="黑体" w:hint="eastAsia"/>
                <w:bCs/>
              </w:rPr>
              <w:t xml:space="preserve">133个</w:t>
            </w:r>
            <w:r/>
          </w:p>
        </w:tc>
      </w:tr>
      <w:tr>
        <w:trPr>
          <w:trHeight w:val="395"/>
        </w:trPr>
        <w:tc>
          <w:tcPr>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年度独立设课的实验课程</w:t>
            </w:r>
            <w:r/>
          </w:p>
        </w:tc>
        <w:tc>
          <w:tcPr>
            <w:tcW w:w="4038" w:type="dxa"/>
            <w:textDirection w:val="lrTb"/>
            <w:noWrap w:val="false"/>
          </w:tcPr>
          <w:p>
            <w:pPr>
              <w:jc w:val="right"/>
              <w:rPr>
                <w:rFonts w:ascii="黑体" w:hAnsi="黑体" w:eastAsia="黑体"/>
                <w:bCs/>
              </w:rPr>
            </w:pPr>
            <w:r>
              <w:rPr>
                <w:rFonts w:ascii="黑体" w:hAnsi="黑体" w:eastAsia="黑体" w:hint="eastAsia"/>
                <w:bCs/>
              </w:rPr>
              <w:t xml:space="preserve">16门</w:t>
            </w:r>
            <w:r/>
          </w:p>
        </w:tc>
      </w:tr>
      <w:tr>
        <w:trPr>
          <w:trHeight w:val="395"/>
        </w:trPr>
        <w:tc>
          <w:tcPr>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实验教材总数</w:t>
            </w:r>
            <w:r/>
          </w:p>
        </w:tc>
        <w:tc>
          <w:tcPr>
            <w:tcW w:w="4038" w:type="dxa"/>
            <w:textDirection w:val="lrTb"/>
            <w:noWrap w:val="false"/>
          </w:tcPr>
          <w:p>
            <w:pPr>
              <w:jc w:val="right"/>
              <w:rPr>
                <w:rFonts w:ascii="黑体" w:hAnsi="黑体" w:eastAsia="黑体"/>
                <w:bCs/>
              </w:rPr>
            </w:pPr>
            <w:r>
              <w:rPr>
                <w:rFonts w:ascii="黑体" w:hAnsi="黑体" w:eastAsia="黑体" w:hint="eastAsia"/>
                <w:bCs/>
              </w:rPr>
              <w:t xml:space="preserve">7种</w:t>
            </w:r>
            <w:r/>
          </w:p>
        </w:tc>
      </w:tr>
      <w:tr>
        <w:trPr>
          <w:trHeight w:val="395"/>
        </w:trPr>
        <w:tc>
          <w:tcPr>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年度新增实验教材</w:t>
            </w:r>
            <w:r/>
          </w:p>
        </w:tc>
        <w:tc>
          <w:tcPr>
            <w:tcW w:w="4038" w:type="dxa"/>
            <w:textDirection w:val="lrTb"/>
            <w:noWrap w:val="false"/>
          </w:tcPr>
          <w:p>
            <w:pPr>
              <w:jc w:val="right"/>
              <w:rPr>
                <w:rFonts w:ascii="黑体" w:hAnsi="黑体" w:eastAsia="黑体"/>
                <w:bCs/>
              </w:rPr>
            </w:pPr>
            <w:r>
              <w:rPr>
                <w:rFonts w:ascii="黑体" w:hAnsi="黑体" w:eastAsia="黑体" w:hint="eastAsia"/>
                <w:bCs/>
              </w:rPr>
              <w:t xml:space="preserve">0种</w:t>
            </w:r>
            <w:r/>
          </w:p>
        </w:tc>
      </w:tr>
    </w:tbl>
    <w:p>
      <w:pPr>
        <w:ind w:firstLine="470"/>
        <w:rPr>
          <w:rFonts w:ascii="楷体" w:hAnsi="楷体" w:eastAsia="楷体"/>
          <w:bCs/>
        </w:rPr>
      </w:pPr>
      <w:r>
        <w:rPr>
          <w:rFonts w:ascii="楷体" w:hAnsi="楷体" w:eastAsia="楷体" w:hint="eastAsia"/>
          <w:bCs/>
        </w:rPr>
        <w:t xml:space="preserve">注：（1）实验项目：有实验讲义和既往学生实验报告的实验项目。（2）实验教材：由中心固定人员担任主编、正式出版的实验教材。（3）实验课程：在专业培养方案中独立设置学分的实验课程。</w:t>
      </w:r>
      <w:r/>
    </w:p>
    <w:p>
      <w:pPr>
        <w:ind w:firstLine="560"/>
        <w:spacing w:after="163" w:before="163"/>
        <w:rPr>
          <w:rFonts w:ascii="黑体" w:hAnsi="黑体" w:eastAsia="黑体"/>
          <w:bCs/>
          <w:sz w:val="28"/>
          <w:szCs w:val="28"/>
        </w:rPr>
      </w:pPr>
      <w:r>
        <w:rPr>
          <w:rFonts w:ascii="黑体" w:hAnsi="黑体" w:eastAsia="黑体" w:hint="eastAsia"/>
          <w:bCs/>
          <w:sz w:val="28"/>
          <w:szCs w:val="28"/>
        </w:rPr>
        <w:t xml:space="preserve">（三）学生获奖情况</w:t>
      </w:r>
      <w:r/>
    </w:p>
    <w:tbl>
      <w:tblPr>
        <w:tblStyle w:val="406"/>
        <w:tblW w:w="8516" w:type="dxa"/>
        <w:tblLayout w:type="fixed"/>
        <w:tblLook w:val="04A0" w:firstRow="1" w:lastRow="0" w:firstColumn="1" w:lastColumn="0" w:noHBand="0" w:noVBand="1"/>
      </w:tblPr>
      <w:tblGrid>
        <w:gridCol w:w="4478"/>
        <w:gridCol w:w="4038"/>
      </w:tblGrid>
      <w:tr>
        <w:trPr>
          <w:trHeight w:val="451"/>
        </w:trPr>
        <w:tc>
          <w:tcPr>
            <w:shd w:val="clear" w:color="auto" w:fill="auto"/>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学生获奖人数</w:t>
            </w:r>
            <w:r/>
          </w:p>
        </w:tc>
        <w:tc>
          <w:tcPr>
            <w:shd w:val="clear" w:color="auto" w:fill="auto"/>
            <w:tcW w:w="4038" w:type="dxa"/>
            <w:vAlign w:val="center"/>
            <w:textDirection w:val="lrTb"/>
            <w:noWrap w:val="false"/>
          </w:tcPr>
          <w:p>
            <w:pPr>
              <w:jc w:val="right"/>
              <w:rPr>
                <w:rFonts w:ascii="黑体" w:hAnsi="黑体" w:eastAsia="黑体"/>
                <w:bCs/>
              </w:rPr>
            </w:pPr>
            <w:r>
              <w:rPr>
                <w:rFonts w:ascii="黑体" w:hAnsi="黑体" w:eastAsia="黑体" w:hint="eastAsia"/>
                <w:bCs/>
              </w:rPr>
              <w:t xml:space="preserve">36人</w:t>
            </w:r>
            <w:r/>
          </w:p>
        </w:tc>
      </w:tr>
      <w:tr>
        <w:trPr>
          <w:trHeight w:val="451"/>
        </w:trPr>
        <w:tc>
          <w:tcPr>
            <w:shd w:val="clear" w:color="auto" w:fill="auto"/>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学生发表论文数</w:t>
            </w:r>
            <w:r/>
          </w:p>
        </w:tc>
        <w:tc>
          <w:tcPr>
            <w:shd w:val="clear" w:color="auto" w:fill="auto"/>
            <w:tcW w:w="4038" w:type="dxa"/>
            <w:vAlign w:val="center"/>
            <w:textDirection w:val="lrTb"/>
            <w:noWrap w:val="false"/>
          </w:tcPr>
          <w:p>
            <w:pPr>
              <w:jc w:val="right"/>
              <w:rPr>
                <w:rFonts w:ascii="黑体" w:hAnsi="黑体" w:eastAsia="黑体"/>
                <w:bCs/>
              </w:rPr>
            </w:pPr>
            <w:r>
              <w:rPr>
                <w:rFonts w:ascii="黑体" w:hAnsi="黑体" w:eastAsia="黑体" w:hint="eastAsia"/>
                <w:bCs/>
              </w:rPr>
              <w:t xml:space="preserve">4篇</w:t>
            </w:r>
            <w:r/>
          </w:p>
        </w:tc>
      </w:tr>
      <w:tr>
        <w:trPr>
          <w:trHeight w:val="451"/>
        </w:trPr>
        <w:tc>
          <w:tcPr>
            <w:shd w:val="clear" w:color="auto" w:fill="auto"/>
            <w:tcW w:w="4478" w:type="dxa"/>
            <w:vAlign w:val="center"/>
            <w:textDirection w:val="lrTb"/>
            <w:noWrap w:val="false"/>
          </w:tcPr>
          <w:p>
            <w:pPr>
              <w:jc w:val="center"/>
              <w:rPr>
                <w:rFonts w:ascii="黑体" w:hAnsi="黑体" w:eastAsia="黑体"/>
                <w:bCs/>
              </w:rPr>
            </w:pPr>
            <w:r>
              <w:rPr>
                <w:rFonts w:ascii="黑体" w:hAnsi="黑体" w:eastAsia="黑体" w:hint="eastAsia"/>
                <w:bCs/>
              </w:rPr>
              <w:t xml:space="preserve">学生获得专利数</w:t>
            </w:r>
            <w:r/>
          </w:p>
        </w:tc>
        <w:tc>
          <w:tcPr>
            <w:shd w:val="clear" w:color="auto" w:fill="auto"/>
            <w:tcW w:w="4038" w:type="dxa"/>
            <w:vAlign w:val="center"/>
            <w:textDirection w:val="lrTb"/>
            <w:noWrap w:val="false"/>
          </w:tcPr>
          <w:p>
            <w:pPr>
              <w:jc w:val="right"/>
              <w:rPr>
                <w:rFonts w:ascii="黑体" w:hAnsi="黑体" w:eastAsia="黑体"/>
                <w:bCs/>
              </w:rPr>
            </w:pPr>
            <w:r>
              <w:rPr>
                <w:rFonts w:ascii="黑体" w:hAnsi="黑体" w:eastAsia="黑体" w:hint="eastAsia"/>
                <w:bCs/>
              </w:rPr>
              <w:t xml:space="preserve">1项</w:t>
            </w:r>
            <w:r/>
          </w:p>
        </w:tc>
      </w:tr>
    </w:tbl>
    <w:p>
      <w:pPr>
        <w:ind w:firstLine="470"/>
        <w:rPr>
          <w:rFonts w:ascii="楷体" w:hAnsi="楷体" w:eastAsia="楷体"/>
          <w:bCs/>
        </w:rPr>
      </w:pPr>
      <w:r>
        <w:rPr>
          <w:rFonts w:ascii="楷体" w:hAnsi="楷体" w:eastAsia="楷体" w:hint="eastAsia"/>
          <w:bCs/>
        </w:rPr>
        <w:t xml:space="preserve">注：（1）学生获奖：指导教师必须是中心固定人员，获奖项目必须是相关项目的全国总决赛以上项目。（2）学生发表论文：必须是在正规出版物上发表，通讯作者或指导老师为中心固定人员。（3）学生获得专利：为已批准专利，中心固定人员为专利共同持有人。</w:t>
      </w:r>
      <w:r/>
    </w:p>
    <w:p>
      <w:pPr>
        <w:ind w:firstLine="630"/>
        <w:spacing w:before="163"/>
        <w:rPr>
          <w:rFonts w:ascii="黑体" w:hAnsi="黑体" w:eastAsia="黑体"/>
          <w:b/>
          <w:bCs/>
          <w:sz w:val="32"/>
          <w:szCs w:val="32"/>
        </w:rPr>
      </w:pPr>
      <w:r>
        <w:rPr>
          <w:rFonts w:ascii="黑体" w:hAnsi="黑体" w:eastAsia="黑体" w:hint="eastAsia"/>
          <w:b/>
          <w:bCs/>
          <w:sz w:val="32"/>
          <w:szCs w:val="32"/>
        </w:rPr>
        <w:t xml:space="preserve">四、教学改革与科学研究情况</w:t>
      </w:r>
      <w:r/>
    </w:p>
    <w:p>
      <w:pPr>
        <w:ind w:firstLine="560"/>
        <w:spacing w:after="163" w:before="163"/>
        <w:rPr>
          <w:rFonts w:ascii="黑体" w:hAnsi="黑体" w:cs="仿宋_GB2312" w:eastAsia="黑体"/>
          <w:bCs/>
          <w:sz w:val="28"/>
          <w:szCs w:val="28"/>
        </w:rPr>
      </w:pPr>
      <w:r>
        <w:rPr>
          <w:rFonts w:ascii="黑体" w:hAnsi="黑体" w:eastAsia="黑体" w:hint="eastAsia"/>
          <w:bCs/>
          <w:sz w:val="28"/>
          <w:szCs w:val="28"/>
        </w:rPr>
        <w:t xml:space="preserve">（一）</w:t>
      </w:r>
      <w:r>
        <w:rPr>
          <w:rFonts w:ascii="黑体" w:hAnsi="黑体" w:cs="仿宋_GB2312" w:eastAsia="黑体" w:hint="eastAsia"/>
          <w:bCs/>
          <w:sz w:val="28"/>
          <w:szCs w:val="28"/>
        </w:rPr>
        <w:t xml:space="preserve">承担教学改革任务及经费</w:t>
      </w:r>
      <w:r/>
    </w:p>
    <w:tbl>
      <w:tblPr>
        <w:tblW w:w="8472" w:type="dxa"/>
        <w:tblInd w:w="96" w:type="dxa"/>
        <w:tblLayout w:type="fixed"/>
        <w:tblLook w:val="04A0" w:firstRow="1" w:lastRow="0" w:firstColumn="1" w:lastColumn="0" w:noHBand="0" w:noVBand="1"/>
      </w:tblPr>
      <w:tblGrid>
        <w:gridCol w:w="1137"/>
        <w:gridCol w:w="1930"/>
        <w:gridCol w:w="1210"/>
        <w:gridCol w:w="1070"/>
        <w:gridCol w:w="1900"/>
        <w:gridCol w:w="1225"/>
      </w:tblGrid>
      <w:tr>
        <w:trPr>
          <w:trHeight w:val="1210"/>
        </w:trPr>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tcPr>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项目</w:t>
            </w:r>
            <w:r/>
          </w:p>
        </w:tc>
        <w:tc>
          <w:tcPr>
            <w:shd w:val="clear" w:color="auto" w:fill="auto"/>
            <w:tcBorders>
              <w:left w:val="single" w:color="000000" w:sz="4" w:space="0"/>
              <w:top w:val="single" w:color="000000" w:sz="4" w:space="0"/>
              <w:right w:val="single" w:color="000000" w:sz="4" w:space="0"/>
              <w:bottom w:val="single" w:color="000000" w:sz="4" w:space="0"/>
            </w:tcBorders>
            <w:tcW w:w="1930" w:type="dxa"/>
            <w:vAlign w:val="center"/>
            <w:textDirection w:val="lrTb"/>
            <w:noWrap w:val="false"/>
          </w:tcPr>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课题名称</w:t>
            </w:r>
            <w:r/>
          </w:p>
        </w:tc>
        <w:tc>
          <w:tcPr>
            <w:shd w:val="clear" w:color="auto" w:fill="auto"/>
            <w:tcBorders>
              <w:left w:val="single" w:color="000000" w:sz="4" w:space="0"/>
              <w:top w:val="single" w:color="000000" w:sz="4" w:space="0"/>
              <w:right w:val="single" w:color="000000" w:sz="4" w:space="0"/>
              <w:bottom w:val="single" w:color="000000" w:sz="4" w:space="0"/>
            </w:tcBorders>
            <w:tcW w:w="1210" w:type="dxa"/>
            <w:vAlign w:val="center"/>
            <w:textDirection w:val="lrTb"/>
            <w:noWrap/>
          </w:tcPr>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文号</w:t>
            </w:r>
            <w:r/>
          </w:p>
        </w:tc>
        <w:tc>
          <w:tcPr>
            <w:shd w:val="clear" w:color="auto" w:fill="auto"/>
            <w:tcBorders>
              <w:left w:val="single" w:color="000000" w:sz="4" w:space="0"/>
              <w:top w:val="single" w:color="000000" w:sz="4" w:space="0"/>
              <w:right w:val="single" w:color="000000" w:sz="4" w:space="0"/>
              <w:bottom w:val="single" w:color="000000" w:sz="4" w:space="0"/>
            </w:tcBorders>
            <w:tcW w:w="1070" w:type="dxa"/>
            <w:vAlign w:val="center"/>
            <w:textDirection w:val="lrTb"/>
            <w:noWrap/>
          </w:tcPr>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负责人</w:t>
            </w:r>
            <w:r/>
          </w:p>
        </w:tc>
        <w:tc>
          <w:tcPr>
            <w:shd w:val="clear" w:color="auto" w:fill="auto"/>
            <w:tcBorders>
              <w:left w:val="single" w:color="000000" w:sz="4" w:space="0"/>
              <w:top w:val="single" w:color="000000" w:sz="4" w:space="0"/>
              <w:right w:val="single" w:color="000000" w:sz="4" w:space="0"/>
              <w:bottom w:val="single" w:color="000000" w:sz="4" w:space="0"/>
            </w:tcBorders>
            <w:tcW w:w="1900" w:type="dxa"/>
            <w:vAlign w:val="center"/>
            <w:textDirection w:val="lrTb"/>
            <w:noWrap w:val="false"/>
          </w:tcPr>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起止时间</w:t>
            </w:r>
            <w:r/>
          </w:p>
        </w:tc>
        <w:tc>
          <w:tcPr>
            <w:shd w:val="clear" w:color="auto" w:fill="auto"/>
            <w:tcBorders>
              <w:left w:val="single" w:color="000000" w:sz="4" w:space="0"/>
              <w:top w:val="single" w:color="000000" w:sz="4" w:space="0"/>
              <w:right w:val="single" w:color="000000" w:sz="4" w:space="0"/>
              <w:bottom w:val="single" w:color="000000" w:sz="4" w:space="0"/>
            </w:tcBorders>
            <w:tcW w:w="1225" w:type="dxa"/>
            <w:vAlign w:val="center"/>
            <w:textDirection w:val="lrTb"/>
            <w:noWrap w:val="false"/>
          </w:tcPr>
          <w:p>
            <w:pPr>
              <w:jc w:val="center"/>
              <w:widowControl/>
              <w:rPr>
                <w:rFonts w:ascii="宋体" w:hAnsi="宋体" w:cs="宋体" w:eastAsia="宋体"/>
                <w:b/>
                <w:bCs/>
                <w:sz w:val="22"/>
                <w:szCs w:val="22"/>
                <w:lang w:bidi="ar"/>
              </w:rPr>
            </w:pPr>
            <w:r>
              <w:rPr>
                <w:rFonts w:ascii="宋体" w:hAnsi="宋体" w:cs="宋体" w:eastAsia="宋体" w:hint="eastAsia"/>
                <w:b/>
                <w:bCs/>
                <w:sz w:val="22"/>
                <w:szCs w:val="22"/>
                <w:lang w:bidi="ar"/>
              </w:rPr>
              <w:t xml:space="preserve">经费</w:t>
            </w:r>
            <w:r/>
          </w:p>
          <w:p>
            <w:pPr>
              <w:jc w:val="center"/>
              <w:widowControl/>
              <w:rPr>
                <w:rFonts w:ascii="宋体" w:hAnsi="宋体" w:cs="宋体" w:eastAsia="宋体"/>
                <w:b/>
                <w:bCs/>
                <w:sz w:val="22"/>
                <w:szCs w:val="22"/>
              </w:rPr>
            </w:pPr>
            <w:r>
              <w:rPr>
                <w:rFonts w:ascii="宋体" w:hAnsi="宋体" w:cs="宋体" w:eastAsia="宋体" w:hint="eastAsia"/>
                <w:b/>
                <w:bCs/>
                <w:sz w:val="22"/>
                <w:szCs w:val="22"/>
                <w:lang w:bidi="ar"/>
              </w:rPr>
              <w:t xml:space="preserve">（万元 ）</w:t>
            </w:r>
            <w:r/>
          </w:p>
        </w:tc>
      </w:tr>
      <w:tr>
        <w:trPr>
          <w:trHeight w:val="576"/>
        </w:trPr>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1930"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药物设计虚拟实验体系的构建及应用研究</w:t>
            </w:r>
            <w:r/>
          </w:p>
        </w:tc>
        <w:tc>
          <w:tcPr>
            <w:shd w:val="clear" w:color="auto" w:fill="auto"/>
            <w:tcBorders>
              <w:left w:val="single" w:color="000000" w:sz="4" w:space="0"/>
              <w:top w:val="single" w:color="000000" w:sz="4" w:space="0"/>
              <w:right w:val="single" w:color="000000" w:sz="4" w:space="0"/>
              <w:bottom w:val="single" w:color="000000" w:sz="4" w:space="0"/>
            </w:tcBorders>
            <w:tcW w:w="1210" w:type="dxa"/>
            <w:vAlign w:val="center"/>
            <w:textDirection w:val="lrTb"/>
            <w:noWrap/>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193067</w:t>
            </w:r>
            <w:r/>
          </w:p>
        </w:tc>
        <w:tc>
          <w:tcPr>
            <w:shd w:val="clear" w:color="auto" w:fill="auto"/>
            <w:tcBorders>
              <w:left w:val="single" w:color="000000" w:sz="4" w:space="0"/>
              <w:top w:val="single" w:color="000000" w:sz="4" w:space="0"/>
              <w:right w:val="single" w:color="000000" w:sz="4" w:space="0"/>
              <w:bottom w:val="single" w:color="000000" w:sz="4" w:space="0"/>
            </w:tcBorders>
            <w:tcW w:w="1070"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邓萍</w:t>
            </w:r>
            <w:r/>
          </w:p>
        </w:tc>
        <w:tc>
          <w:tcPr>
            <w:shd w:val="clear" w:color="auto" w:fill="auto"/>
            <w:tcBorders>
              <w:left w:val="single" w:color="000000" w:sz="4" w:space="0"/>
              <w:top w:val="single" w:color="000000" w:sz="4" w:space="0"/>
              <w:right w:val="single" w:color="000000" w:sz="4" w:space="0"/>
              <w:bottom w:val="single" w:color="000000" w:sz="4" w:space="0"/>
            </w:tcBorders>
            <w:tcW w:w="1900" w:type="dxa"/>
            <w:vAlign w:val="center"/>
            <w:textDirection w:val="lrTb"/>
            <w:noWrap/>
          </w:tcPr>
          <w:p>
            <w:pPr>
              <w:jc w:val="center"/>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2019.9–</w:t>
            </w:r>
            <w:r/>
          </w:p>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2022.8</w:t>
            </w:r>
            <w:r/>
          </w:p>
        </w:tc>
        <w:tc>
          <w:tcPr>
            <w:shd w:val="clear" w:color="auto" w:fill="auto"/>
            <w:tcBorders>
              <w:left w:val="single" w:color="000000" w:sz="4" w:space="0"/>
              <w:top w:val="single" w:color="000000" w:sz="4" w:space="0"/>
              <w:right w:val="single" w:color="000000" w:sz="4" w:space="0"/>
              <w:bottom w:val="single" w:color="000000" w:sz="4" w:space="0"/>
            </w:tcBorders>
            <w:tcW w:w="1225" w:type="dxa"/>
            <w:vAlign w:val="center"/>
            <w:textDirection w:val="lrTb"/>
            <w:noWrap/>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3</w:t>
            </w:r>
            <w:r/>
          </w:p>
        </w:tc>
      </w:tr>
      <w:tr>
        <w:trPr>
          <w:trHeight w:val="864"/>
        </w:trPr>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市级教改重点项目</w:t>
            </w:r>
            <w:r/>
          </w:p>
        </w:tc>
        <w:tc>
          <w:tcPr>
            <w:shd w:val="clear" w:color="auto" w:fill="auto"/>
            <w:tcBorders>
              <w:left w:val="single" w:color="000000" w:sz="4" w:space="0"/>
              <w:top w:val="single" w:color="000000" w:sz="4" w:space="0"/>
              <w:right w:val="single" w:color="000000" w:sz="4" w:space="0"/>
              <w:bottom w:val="single" w:color="000000" w:sz="4" w:space="0"/>
            </w:tcBorders>
            <w:tcW w:w="1930" w:type="dxa"/>
            <w:vAlign w:val="center"/>
            <w:textDirection w:val="lrTb"/>
            <w:noWrap w:val="false"/>
          </w:tcPr>
          <w:p>
            <w:pPr>
              <w:jc w:val="left"/>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w:t>
            </w:r>
            <w:r>
              <w:rPr>
                <w:rFonts w:ascii="宋体" w:hAnsi="宋体" w:cs="宋体" w:eastAsia="宋体" w:hint="eastAsia"/>
                <w:sz w:val="20"/>
                <w:szCs w:val="20"/>
                <w:lang w:bidi="ar"/>
              </w:rPr>
              <w:t xml:space="preserve">互联网</w:t>
            </w:r>
            <w:r>
              <w:rPr>
                <w:rFonts w:ascii="Times New Roman" w:hAnsi="Times New Roman" w:cs="Times New Roman" w:eastAsia="宋体"/>
                <w:sz w:val="20"/>
                <w:szCs w:val="20"/>
                <w:lang w:bidi="ar"/>
              </w:rPr>
              <w:t xml:space="preserve">+CADD”</w:t>
            </w:r>
            <w:r>
              <w:rPr>
                <w:rFonts w:ascii="宋体" w:hAnsi="宋体" w:cs="宋体" w:eastAsia="宋体" w:hint="eastAsia"/>
                <w:sz w:val="20"/>
                <w:szCs w:val="20"/>
                <w:lang w:bidi="ar"/>
              </w:rPr>
              <w:t xml:space="preserve">资源共享平台建立培养药学专业研究生创新能力的实践与探索</w:t>
            </w:r>
            <w:r/>
          </w:p>
        </w:tc>
        <w:tc>
          <w:tcPr>
            <w:shd w:val="clear" w:color="auto" w:fill="auto"/>
            <w:tcBorders>
              <w:left w:val="single" w:color="000000" w:sz="4" w:space="0"/>
              <w:top w:val="single" w:color="000000" w:sz="4" w:space="0"/>
              <w:right w:val="single" w:color="000000" w:sz="4" w:space="0"/>
              <w:bottom w:val="single" w:color="000000" w:sz="4" w:space="0"/>
            </w:tcBorders>
            <w:tcW w:w="1210" w:type="dxa"/>
            <w:vAlign w:val="center"/>
            <w:textDirection w:val="lrTb"/>
            <w:noWrap/>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yjg192016</w:t>
            </w:r>
            <w:r/>
          </w:p>
        </w:tc>
        <w:tc>
          <w:tcPr>
            <w:shd w:val="clear" w:color="auto" w:fill="auto"/>
            <w:tcBorders>
              <w:left w:val="single" w:color="000000" w:sz="4" w:space="0"/>
              <w:top w:val="single" w:color="000000" w:sz="4" w:space="0"/>
              <w:right w:val="single" w:color="000000" w:sz="4" w:space="0"/>
              <w:bottom w:val="single" w:color="000000" w:sz="4" w:space="0"/>
            </w:tcBorders>
            <w:tcW w:w="1070"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张永红</w:t>
            </w:r>
            <w:r/>
          </w:p>
        </w:tc>
        <w:tc>
          <w:tcPr>
            <w:shd w:val="clear" w:color="auto" w:fill="auto"/>
            <w:tcBorders>
              <w:left w:val="single" w:color="000000" w:sz="4" w:space="0"/>
              <w:top w:val="single" w:color="000000" w:sz="4" w:space="0"/>
              <w:right w:val="single" w:color="000000" w:sz="4" w:space="0"/>
              <w:bottom w:val="single" w:color="000000" w:sz="4" w:space="0"/>
            </w:tcBorders>
            <w:tcW w:w="1900" w:type="dxa"/>
            <w:vAlign w:val="center"/>
            <w:textDirection w:val="lrTb"/>
            <w:noWrap/>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201905</w:t>
            </w:r>
            <w:r>
              <w:rPr>
                <w:rFonts w:ascii="宋体" w:hAnsi="宋体" w:cs="宋体" w:eastAsia="宋体" w:hint="eastAsia"/>
                <w:sz w:val="20"/>
                <w:szCs w:val="20"/>
                <w:lang w:bidi="ar"/>
              </w:rPr>
              <w:t xml:space="preserve">－</w:t>
            </w:r>
            <w:r>
              <w:rPr>
                <w:rFonts w:ascii="Times New Roman" w:hAnsi="Times New Roman" w:cs="Times New Roman" w:eastAsia="宋体"/>
                <w:sz w:val="20"/>
                <w:szCs w:val="20"/>
                <w:lang w:bidi="ar"/>
              </w:rPr>
              <w:t xml:space="preserve">202204</w:t>
            </w:r>
            <w:r/>
          </w:p>
        </w:tc>
        <w:tc>
          <w:tcPr>
            <w:shd w:val="clear" w:color="auto" w:fill="auto"/>
            <w:tcBorders>
              <w:left w:val="single" w:color="000000" w:sz="4" w:space="0"/>
              <w:top w:val="single" w:color="000000" w:sz="4" w:space="0"/>
              <w:right w:val="single" w:color="000000" w:sz="4" w:space="0"/>
              <w:bottom w:val="single" w:color="000000" w:sz="4" w:space="0"/>
            </w:tcBorders>
            <w:tcW w:w="1225" w:type="dxa"/>
            <w:vAlign w:val="center"/>
            <w:textDirection w:val="lrTb"/>
            <w:noWrap/>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3</w:t>
            </w:r>
            <w:r/>
          </w:p>
        </w:tc>
      </w:tr>
      <w:tr>
        <w:trPr>
          <w:trHeight w:val="1335"/>
        </w:trPr>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1930"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基于“培养创新型医学人才”背景下药学本科生早期科研能力培养的教学模式研究与实践   </w:t>
            </w:r>
            <w:r/>
          </w:p>
        </w:tc>
        <w:tc>
          <w:tcPr>
            <w:shd w:val="clear" w:color="auto" w:fill="auto"/>
            <w:tcBorders>
              <w:left w:val="single" w:color="000000" w:sz="4" w:space="0"/>
              <w:top w:val="single" w:color="000000" w:sz="4" w:space="0"/>
              <w:right w:val="single" w:color="000000" w:sz="4" w:space="0"/>
              <w:bottom w:val="single" w:color="000000" w:sz="4" w:space="0"/>
            </w:tcBorders>
            <w:tcW w:w="1210"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203388</w:t>
            </w:r>
            <w:r/>
          </w:p>
        </w:tc>
        <w:tc>
          <w:tcPr>
            <w:shd w:val="clear" w:color="auto" w:fill="auto"/>
            <w:tcBorders>
              <w:left w:val="single" w:color="000000" w:sz="4" w:space="0"/>
              <w:top w:val="single" w:color="000000" w:sz="4" w:space="0"/>
              <w:right w:val="single" w:color="000000" w:sz="4" w:space="0"/>
              <w:bottom w:val="single" w:color="000000" w:sz="4" w:space="0"/>
            </w:tcBorders>
            <w:tcW w:w="1070" w:type="dxa"/>
            <w:vAlign w:val="center"/>
            <w:textDirection w:val="lrTb"/>
            <w:noWrap/>
          </w:tcPr>
          <w:p>
            <w:pPr>
              <w:jc w:val="center"/>
              <w:widowControl/>
              <w:rPr>
                <w:rFonts w:ascii="Times New Roman" w:hAnsi="Times New Roman" w:cs="Times New Roman" w:eastAsia="宋体"/>
                <w:sz w:val="20"/>
                <w:szCs w:val="20"/>
              </w:rPr>
            </w:pPr>
            <w:r>
              <w:rPr>
                <w:rFonts w:ascii="宋体" w:hAnsi="宋体" w:cs="宋体" w:eastAsia="宋体" w:hint="eastAsia"/>
                <w:sz w:val="20"/>
                <w:szCs w:val="20"/>
                <w:lang w:bidi="ar"/>
              </w:rPr>
              <w:t xml:space="preserve">范</w:t>
            </w:r>
            <w:r>
              <w:rPr>
                <w:rFonts w:ascii="Times New Roman" w:hAnsi="Times New Roman" w:cs="Times New Roman" w:eastAsia="宋体"/>
                <w:sz w:val="20"/>
                <w:szCs w:val="20"/>
                <w:lang w:bidi="ar"/>
              </w:rPr>
              <w:t xml:space="preserve"> </w:t>
            </w:r>
            <w:r>
              <w:rPr>
                <w:rFonts w:ascii="宋体" w:hAnsi="宋体" w:cs="宋体" w:eastAsia="宋体" w:hint="eastAsia"/>
                <w:sz w:val="20"/>
                <w:szCs w:val="20"/>
                <w:lang w:bidi="ar"/>
              </w:rPr>
              <w:t xml:space="preserve">琦</w:t>
            </w:r>
            <w:r/>
          </w:p>
        </w:tc>
        <w:tc>
          <w:tcPr>
            <w:shd w:val="clear" w:color="auto" w:fill="auto"/>
            <w:tcBorders>
              <w:left w:val="single" w:color="000000" w:sz="4" w:space="0"/>
              <w:top w:val="single" w:color="000000" w:sz="4" w:space="0"/>
              <w:right w:val="single" w:color="000000" w:sz="4" w:space="0"/>
              <w:bottom w:val="single" w:color="000000" w:sz="4" w:space="0"/>
            </w:tcBorders>
            <w:tcW w:w="1900" w:type="dxa"/>
            <w:vAlign w:val="center"/>
            <w:textDirection w:val="lrTb"/>
            <w:noWrap/>
          </w:tcPr>
          <w:p>
            <w:pPr>
              <w:jc w:val="center"/>
              <w:widowControl/>
              <w:rPr>
                <w:rFonts w:ascii="宋体" w:hAnsi="宋体" w:cs="宋体" w:eastAsia="宋体"/>
                <w:sz w:val="20"/>
                <w:szCs w:val="20"/>
                <w:lang w:bidi="ar"/>
              </w:rPr>
            </w:pPr>
            <w:r>
              <w:rPr>
                <w:rFonts w:ascii="宋体" w:hAnsi="宋体" w:cs="宋体" w:eastAsia="宋体" w:hint="eastAsia"/>
                <w:sz w:val="20"/>
                <w:szCs w:val="20"/>
                <w:lang w:bidi="ar"/>
              </w:rPr>
              <w:t xml:space="preserve">2020.7-</w:t>
            </w:r>
            <w:r/>
          </w:p>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2022.6</w:t>
            </w:r>
            <w:r/>
          </w:p>
        </w:tc>
        <w:tc>
          <w:tcPr>
            <w:shd w:val="clear" w:color="auto" w:fill="auto"/>
            <w:tcBorders>
              <w:left w:val="single" w:color="000000" w:sz="4" w:space="0"/>
              <w:top w:val="single" w:color="000000" w:sz="4" w:space="0"/>
              <w:right w:val="single" w:color="000000" w:sz="4" w:space="0"/>
              <w:bottom w:val="single" w:color="000000" w:sz="4" w:space="0"/>
            </w:tcBorders>
            <w:tcW w:w="1225"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0.5</w:t>
            </w:r>
            <w:r/>
          </w:p>
        </w:tc>
      </w:tr>
      <w:tr>
        <w:trPr>
          <w:trHeight w:val="1020"/>
        </w:trPr>
        <w:tc>
          <w:tcPr>
            <w:shd w:val="clear" w:color="auto" w:fill="auto"/>
            <w:tcBorders>
              <w:left w:val="single" w:color="000000" w:sz="4" w:space="0"/>
              <w:top w:val="single" w:color="000000" w:sz="4" w:space="0"/>
              <w:right w:val="single" w:color="000000" w:sz="4" w:space="0"/>
              <w:bottom w:val="single" w:color="000000" w:sz="4" w:space="0"/>
            </w:tcBorders>
            <w:tcW w:w="1137"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市级教改一般项目</w:t>
            </w:r>
            <w:r/>
          </w:p>
        </w:tc>
        <w:tc>
          <w:tcPr>
            <w:shd w:val="clear" w:color="auto" w:fill="auto"/>
            <w:tcBorders>
              <w:left w:val="single" w:color="000000" w:sz="4" w:space="0"/>
              <w:top w:val="single" w:color="000000" w:sz="4" w:space="0"/>
              <w:right w:val="single" w:color="000000" w:sz="4" w:space="0"/>
              <w:bottom w:val="single" w:color="000000" w:sz="4" w:space="0"/>
            </w:tcBorders>
            <w:tcW w:w="1930" w:type="dxa"/>
            <w:vAlign w:val="center"/>
            <w:textDirection w:val="lrTb"/>
            <w:noWrap w:val="false"/>
          </w:tcPr>
          <w:p>
            <w:pPr>
              <w:jc w:val="left"/>
              <w:widowControl/>
              <w:rPr>
                <w:rFonts w:ascii="宋体" w:hAnsi="宋体" w:cs="宋体" w:eastAsia="宋体"/>
                <w:sz w:val="20"/>
                <w:szCs w:val="20"/>
              </w:rPr>
            </w:pPr>
            <w:r>
              <w:rPr>
                <w:rFonts w:ascii="宋体" w:hAnsi="宋体" w:cs="宋体" w:eastAsia="宋体" w:hint="eastAsia"/>
                <w:sz w:val="20"/>
                <w:szCs w:val="20"/>
                <w:lang w:bidi="ar"/>
              </w:rPr>
              <w:t xml:space="preserve">基于OBE理念的药物分析课程质量保障体系的构建与评价</w:t>
            </w:r>
            <w:r/>
          </w:p>
        </w:tc>
        <w:tc>
          <w:tcPr>
            <w:shd w:val="clear" w:color="auto" w:fill="auto"/>
            <w:tcBorders>
              <w:left w:val="single" w:color="000000" w:sz="4" w:space="0"/>
              <w:top w:val="single" w:color="000000" w:sz="4" w:space="0"/>
              <w:right w:val="single" w:color="000000" w:sz="4" w:space="0"/>
              <w:bottom w:val="single" w:color="000000" w:sz="4" w:space="0"/>
            </w:tcBorders>
            <w:tcW w:w="1210" w:type="dxa"/>
            <w:vAlign w:val="center"/>
            <w:textDirection w:val="lrTb"/>
            <w:noWrap w:val="false"/>
          </w:tcPr>
          <w:p>
            <w:pPr>
              <w:jc w:val="center"/>
              <w:widowControl/>
              <w:rPr>
                <w:rFonts w:ascii="Times New Roman" w:hAnsi="Times New Roman" w:cs="Times New Roman" w:eastAsia="宋体"/>
                <w:sz w:val="20"/>
                <w:szCs w:val="20"/>
              </w:rPr>
            </w:pPr>
            <w:r>
              <w:rPr>
                <w:rFonts w:ascii="Times New Roman" w:hAnsi="Times New Roman" w:cs="Times New Roman" w:eastAsia="宋体"/>
                <w:sz w:val="20"/>
                <w:szCs w:val="20"/>
                <w:lang w:bidi="ar"/>
              </w:rPr>
              <w:t xml:space="preserve">2020-GX-268</w:t>
            </w:r>
            <w:r/>
          </w:p>
        </w:tc>
        <w:tc>
          <w:tcPr>
            <w:shd w:val="clear" w:color="auto" w:fill="auto"/>
            <w:tcBorders>
              <w:left w:val="single" w:color="000000" w:sz="4" w:space="0"/>
              <w:top w:val="single" w:color="000000" w:sz="4" w:space="0"/>
              <w:right w:val="single" w:color="000000" w:sz="4" w:space="0"/>
              <w:bottom w:val="single" w:color="000000" w:sz="4" w:space="0"/>
            </w:tcBorders>
            <w:tcW w:w="1070"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王杰</w:t>
            </w:r>
            <w:r/>
          </w:p>
        </w:tc>
        <w:tc>
          <w:tcPr>
            <w:shd w:val="clear" w:color="auto" w:fill="auto"/>
            <w:tcBorders>
              <w:left w:val="single" w:color="000000" w:sz="4" w:space="0"/>
              <w:top w:val="single" w:color="000000" w:sz="4" w:space="0"/>
              <w:right w:val="single" w:color="000000" w:sz="4" w:space="0"/>
              <w:bottom w:val="single" w:color="000000" w:sz="4" w:space="0"/>
            </w:tcBorders>
            <w:tcW w:w="1900"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2020.10-2023.10</w:t>
            </w:r>
            <w:r/>
          </w:p>
        </w:tc>
        <w:tc>
          <w:tcPr>
            <w:shd w:val="clear" w:color="auto" w:fill="auto"/>
            <w:tcBorders>
              <w:left w:val="single" w:color="000000" w:sz="4" w:space="0"/>
              <w:top w:val="single" w:color="000000" w:sz="4" w:space="0"/>
              <w:right w:val="single" w:color="000000" w:sz="4" w:space="0"/>
              <w:bottom w:val="single" w:color="000000" w:sz="4" w:space="0"/>
            </w:tcBorders>
            <w:tcW w:w="1225" w:type="dxa"/>
            <w:vAlign w:val="center"/>
            <w:textDirection w:val="lrTb"/>
            <w:noWrap/>
          </w:tcPr>
          <w:p>
            <w:pPr>
              <w:jc w:val="center"/>
              <w:widowControl/>
              <w:rPr>
                <w:rFonts w:ascii="宋体" w:hAnsi="宋体" w:cs="宋体" w:eastAsia="宋体"/>
                <w:sz w:val="20"/>
                <w:szCs w:val="20"/>
              </w:rPr>
            </w:pPr>
            <w:r>
              <w:rPr>
                <w:rFonts w:ascii="宋体" w:hAnsi="宋体" w:cs="宋体" w:eastAsia="宋体" w:hint="eastAsia"/>
                <w:sz w:val="20"/>
                <w:szCs w:val="20"/>
                <w:lang w:bidi="ar"/>
              </w:rPr>
              <w:t xml:space="preserve">0.5</w:t>
            </w:r>
            <w:r/>
          </w:p>
        </w:tc>
      </w:tr>
    </w:tbl>
    <w:p>
      <w:pPr>
        <w:spacing w:after="163" w:before="163"/>
        <w:rPr>
          <w:rFonts w:ascii="楷体" w:hAnsi="楷体" w:cs="仿宋_GB2312" w:eastAsia="楷体"/>
          <w:color w:val="FF0000"/>
        </w:rPr>
      </w:pPr>
      <w:r>
        <w:rPr>
          <w:rFonts w:ascii="楷体" w:hAnsi="楷体" w:eastAsia="楷体" w:hint="eastAsia"/>
          <w:bCs/>
          <w:color w:val="000000" w:themeColor="text1"/>
        </w:rPr>
        <w:t xml:space="preserve">注：</w:t>
      </w:r>
      <w:r>
        <w:rPr>
          <w:rFonts w:ascii="楷体" w:hAnsi="楷体" w:eastAsia="楷体" w:hint="eastAsia"/>
          <w:color w:val="000000" w:themeColor="text1"/>
        </w:rPr>
        <w:t xml:space="preserve">（1）此表填写省部级以上教学改革项目</w:t>
      </w:r>
      <w:r>
        <w:rPr>
          <w:rFonts w:ascii="楷体" w:hAnsi="楷体" w:eastAsia="楷体"/>
          <w:bCs/>
          <w:color w:val="000000" w:themeColor="text1"/>
        </w:rPr>
        <w:t xml:space="preserve">（课题）名称：</w:t>
      </w:r>
      <w:r>
        <w:rPr>
          <w:rFonts w:ascii="楷体" w:hAnsi="楷体" w:cs="仿宋_GB2312" w:eastAsia="楷体"/>
          <w:color w:val="000000" w:themeColor="text1"/>
        </w:rPr>
        <w:t xml:space="preserve">项目管理部门下达的有正式文号的最小一级子课题名称。</w:t>
      </w:r>
      <w:r>
        <w:rPr>
          <w:rFonts w:ascii="楷体" w:hAnsi="楷体" w:cs="仿宋_GB2312" w:eastAsia="楷体" w:hint="eastAsia"/>
          <w:color w:val="000000" w:themeColor="text1"/>
        </w:rPr>
        <w:t xml:space="preserve">（2）</w:t>
      </w:r>
      <w:r>
        <w:rPr>
          <w:rFonts w:ascii="楷体" w:hAnsi="楷体" w:cs="仿宋_GB2312" w:eastAsia="楷体"/>
          <w:bCs/>
          <w:color w:val="000000" w:themeColor="text1"/>
        </w:rPr>
        <w:t xml:space="preserve">文号：</w:t>
      </w:r>
      <w:r>
        <w:rPr>
          <w:rFonts w:ascii="楷体" w:hAnsi="楷体" w:cs="仿宋_GB2312" w:eastAsia="楷体"/>
          <w:color w:val="000000" w:themeColor="text1"/>
        </w:rPr>
        <w:t xml:space="preserve">项目管理部门下达文件的文号。</w:t>
      </w:r>
      <w:r>
        <w:rPr>
          <w:rFonts w:ascii="楷体" w:hAnsi="楷体" w:cs="仿宋_GB2312" w:eastAsia="楷体" w:hint="eastAsia"/>
          <w:color w:val="000000" w:themeColor="text1"/>
        </w:rPr>
        <w:t xml:space="preserve">（3）</w:t>
      </w:r>
      <w:r>
        <w:rPr>
          <w:rFonts w:ascii="楷体" w:hAnsi="楷体" w:cs="仿宋_GB2312" w:eastAsia="楷体"/>
          <w:color w:val="000000" w:themeColor="text1"/>
        </w:rPr>
        <w:t xml:space="preserve">负责人：必须是中心固定人员。</w:t>
      </w:r>
      <w:r>
        <w:rPr>
          <w:rFonts w:ascii="楷体" w:hAnsi="楷体" w:cs="仿宋_GB2312" w:eastAsia="楷体" w:hint="eastAsia"/>
          <w:color w:val="000000" w:themeColor="text1"/>
        </w:rPr>
        <w:t xml:space="preserve">（4）</w:t>
      </w:r>
      <w:r>
        <w:rPr>
          <w:rFonts w:ascii="楷体" w:hAnsi="楷体" w:cs="宋体" w:eastAsia="楷体"/>
          <w:bCs/>
          <w:color w:val="000000" w:themeColor="text1"/>
        </w:rPr>
        <w:t xml:space="preserve">参加人员：</w:t>
      </w:r>
      <w:r>
        <w:rPr>
          <w:rFonts w:ascii="楷体" w:hAnsi="楷体" w:cs="宋体" w:eastAsia="楷体"/>
          <w:color w:val="000000" w:themeColor="text1"/>
        </w:rPr>
        <w:t xml:space="preserve">所有参加人员，</w:t>
      </w:r>
      <w:r>
        <w:rPr>
          <w:rFonts w:ascii="楷体" w:hAnsi="楷体" w:eastAsia="楷体"/>
          <w:color w:val="000000" w:themeColor="text1"/>
        </w:rPr>
        <w:t xml:space="preserve">其中研究生、博士后名字后标注*，非本中心人员名字后标注＃。</w:t>
      </w:r>
      <w:r>
        <w:rPr>
          <w:rFonts w:ascii="楷体" w:hAnsi="楷体" w:eastAsia="楷体" w:hint="eastAsia"/>
          <w:color w:val="000000" w:themeColor="text1"/>
        </w:rPr>
        <w:t xml:space="preserve">（5）</w:t>
      </w:r>
      <w:r>
        <w:rPr>
          <w:rFonts w:ascii="楷体" w:hAnsi="楷体" w:eastAsia="楷体" w:hint="eastAsia"/>
          <w:bCs/>
          <w:color w:val="000000" w:themeColor="text1"/>
        </w:rPr>
        <w:t xml:space="preserve">经费：</w:t>
      </w:r>
      <w:r>
        <w:rPr>
          <w:rFonts w:ascii="楷体" w:hAnsi="楷体" w:cs="仿宋_GB2312" w:eastAsia="楷体" w:hint="eastAsia"/>
          <w:color w:val="000000" w:themeColor="text1"/>
        </w:rPr>
        <w:t xml:space="preserve">指示范中心本年度实际到账的研究经费。（6）</w:t>
      </w:r>
      <w:r>
        <w:rPr>
          <w:rFonts w:ascii="楷体" w:hAnsi="楷体" w:cs="宋体" w:eastAsia="楷体" w:hint="eastAsia"/>
          <w:bCs/>
          <w:color w:val="000000" w:themeColor="text1"/>
        </w:rPr>
        <w:t xml:space="preserve">类别：</w:t>
      </w:r>
      <w:r>
        <w:rPr>
          <w:rFonts w:ascii="楷体" w:hAnsi="楷体" w:cs="仿宋_GB2312" w:eastAsia="楷体" w:hint="eastAsia"/>
          <w:color w:val="000000" w:themeColor="text1"/>
        </w:rPr>
        <w:t xml:space="preserve">分为</w:t>
      </w:r>
      <w:r>
        <w:rPr>
          <w:rFonts w:ascii="楷体" w:hAnsi="楷体" w:eastAsia="楷体"/>
          <w:color w:val="000000" w:themeColor="text1"/>
        </w:rPr>
        <w:t xml:space="preserve">a、b</w:t>
      </w:r>
      <w:r>
        <w:rPr>
          <w:rFonts w:ascii="楷体" w:hAnsi="楷体" w:cs="仿宋_GB2312" w:eastAsia="楷体" w:hint="eastAsia"/>
          <w:color w:val="000000" w:themeColor="text1"/>
        </w:rPr>
        <w:t xml:space="preserve">两类，</w:t>
      </w:r>
      <w:r>
        <w:rPr>
          <w:rFonts w:ascii="楷体" w:hAnsi="楷体" w:eastAsia="楷体"/>
          <w:color w:val="000000" w:themeColor="text1"/>
        </w:rPr>
        <w:t xml:space="preserve">a</w:t>
      </w:r>
      <w:r>
        <w:rPr>
          <w:rFonts w:ascii="楷体" w:hAnsi="楷体" w:cs="仿宋_GB2312" w:eastAsia="楷体" w:hint="eastAsia"/>
          <w:color w:val="000000" w:themeColor="text1"/>
        </w:rPr>
        <w:t xml:space="preserve">类课题指以示范中心为主的课题；</w:t>
      </w:r>
      <w:r>
        <w:rPr>
          <w:rFonts w:ascii="楷体" w:hAnsi="楷体" w:eastAsia="楷体"/>
          <w:color w:val="000000" w:themeColor="text1"/>
        </w:rPr>
        <w:t xml:space="preserve">b</w:t>
      </w:r>
      <w:r>
        <w:rPr>
          <w:rFonts w:ascii="楷体" w:hAnsi="楷体" w:cs="仿宋_GB2312" w:eastAsia="楷体" w:hint="eastAsia"/>
          <w:color w:val="000000" w:themeColor="text1"/>
        </w:rPr>
        <w:t xml:space="preserve">类课题指</w:t>
      </w:r>
      <w:r>
        <w:rPr>
          <w:rFonts w:ascii="楷体" w:hAnsi="楷体" w:eastAsia="楷体" w:hint="eastAsia"/>
          <w:color w:val="000000" w:themeColor="text1"/>
        </w:rPr>
        <w:t xml:space="preserve">本示范中心协同其他单位研究的课题</w:t>
      </w:r>
      <w:r>
        <w:rPr>
          <w:rFonts w:ascii="楷体" w:hAnsi="楷体" w:cs="仿宋_GB2312" w:eastAsia="楷体" w:hint="eastAsia"/>
          <w:color w:val="000000" w:themeColor="text1"/>
        </w:rPr>
        <w:t xml:space="preserve">。</w:t>
      </w:r>
      <w:r/>
    </w:p>
    <w:p>
      <w:pPr>
        <w:ind w:firstLine="560"/>
        <w:spacing w:after="163" w:before="163"/>
        <w:rPr>
          <w:rFonts w:ascii="黑体" w:hAnsi="黑体" w:cs="仿宋_GB2312" w:eastAsia="黑体"/>
          <w:bCs/>
          <w:color w:val="000000"/>
          <w:sz w:val="28"/>
          <w:szCs w:val="28"/>
        </w:rPr>
      </w:pPr>
      <w:r>
        <w:rPr>
          <w:rFonts w:ascii="黑体" w:hAnsi="黑体" w:cs="仿宋_GB2312" w:eastAsia="黑体" w:hint="eastAsia"/>
          <w:color w:val="000000" w:themeColor="text1"/>
          <w:sz w:val="28"/>
          <w:szCs w:val="28"/>
        </w:rPr>
        <w:t xml:space="preserve">（二）</w:t>
      </w:r>
      <w:r>
        <w:rPr>
          <w:rFonts w:ascii="黑体" w:hAnsi="黑体" w:cs="仿宋_GB2312" w:eastAsia="黑体" w:hint="eastAsia"/>
          <w:bCs/>
          <w:color w:val="000000" w:themeColor="text1"/>
          <w:sz w:val="28"/>
          <w:szCs w:val="28"/>
        </w:rPr>
        <w:t xml:space="preserve">承担科研任务及经费（10</w:t>
      </w:r>
      <w:r>
        <w:rPr>
          <w:rFonts w:ascii="黑体" w:hAnsi="黑体" w:cs="仿宋_GB2312" w:eastAsia="黑体" w:hint="eastAsia"/>
          <w:color w:val="000000" w:themeColor="text1"/>
        </w:rPr>
        <w:t xml:space="preserve">万元以上</w:t>
      </w:r>
      <w:r>
        <w:rPr>
          <w:rFonts w:ascii="黑体" w:hAnsi="黑体" w:cs="仿宋_GB2312" w:eastAsia="黑体" w:hint="eastAsia"/>
          <w:bCs/>
          <w:color w:val="000000" w:themeColor="text1"/>
          <w:sz w:val="28"/>
          <w:szCs w:val="28"/>
        </w:rPr>
        <w:t xml:space="preserve">）</w:t>
      </w:r>
      <w:r/>
    </w:p>
    <w:tbl>
      <w:tblPr>
        <w:tblpPr w:horzAnchor="page" w:tblpX="1841" w:vertAnchor="text" w:tblpY="925" w:leftFromText="180" w:topFromText="0" w:rightFromText="180" w:bottomFromText="0"/>
        <w:tblW w:w="8449" w:type="dxa"/>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851"/>
        <w:gridCol w:w="2091"/>
        <w:gridCol w:w="1248"/>
        <w:gridCol w:w="990"/>
        <w:gridCol w:w="1120"/>
        <w:gridCol w:w="1015"/>
        <w:gridCol w:w="1134"/>
      </w:tblGrid>
      <w:tr>
        <w:trPr/>
        <w:tc>
          <w:tcPr>
            <w:tcW w:w="851" w:type="dxa"/>
            <w:vAlign w:val="center"/>
            <w:textDirection w:val="lrTb"/>
            <w:noWrap w:val="false"/>
          </w:tcPr>
          <w:p>
            <w:pPr>
              <w:rPr>
                <w:rFonts w:ascii="黑体" w:hAnsi="黑体" w:eastAsia="黑体"/>
                <w:color w:val="000000"/>
              </w:rPr>
            </w:pPr>
            <w:r>
              <w:rPr>
                <w:rFonts w:ascii="黑体" w:hAnsi="黑体" w:cs="宋体" w:eastAsia="黑体" w:hint="eastAsia"/>
                <w:color w:val="000000" w:themeColor="text1"/>
              </w:rPr>
              <w:t xml:space="preserve">序号</w:t>
            </w:r>
            <w:r/>
          </w:p>
        </w:tc>
        <w:tc>
          <w:tcPr>
            <w:tcW w:w="2091" w:type="dxa"/>
            <w:vAlign w:val="center"/>
            <w:textDirection w:val="lrTb"/>
            <w:noWrap w:val="false"/>
          </w:tcPr>
          <w:p>
            <w:pPr>
              <w:ind w:firstLine="240"/>
              <w:rPr>
                <w:rFonts w:ascii="黑体" w:hAnsi="黑体" w:eastAsia="黑体"/>
                <w:color w:val="000000"/>
              </w:rPr>
            </w:pPr>
            <w:r>
              <w:rPr>
                <w:rFonts w:ascii="黑体" w:hAnsi="黑体" w:cs="宋体" w:eastAsia="黑体" w:hint="eastAsia"/>
                <w:color w:val="000000" w:themeColor="text1"/>
              </w:rPr>
              <w:t xml:space="preserve">课题名称</w:t>
            </w:r>
            <w:r/>
          </w:p>
        </w:tc>
        <w:tc>
          <w:tcPr>
            <w:tcW w:w="1248" w:type="dxa"/>
            <w:vAlign w:val="center"/>
            <w:textDirection w:val="lrTb"/>
            <w:noWrap w:val="false"/>
          </w:tcPr>
          <w:p>
            <w:pPr>
              <w:jc w:val="center"/>
              <w:rPr>
                <w:rFonts w:ascii="黑体" w:hAnsi="黑体" w:eastAsia="黑体"/>
                <w:color w:val="000000"/>
              </w:rPr>
            </w:pPr>
            <w:r>
              <w:rPr>
                <w:rFonts w:ascii="黑体" w:hAnsi="黑体" w:cs="宋体" w:eastAsia="黑体" w:hint="eastAsia"/>
                <w:color w:val="000000" w:themeColor="text1"/>
              </w:rPr>
              <w:t xml:space="preserve">文号</w:t>
            </w:r>
            <w:r/>
          </w:p>
        </w:tc>
        <w:tc>
          <w:tcPr>
            <w:tcW w:w="990" w:type="dxa"/>
            <w:vAlign w:val="center"/>
            <w:textDirection w:val="lrTb"/>
            <w:noWrap w:val="false"/>
          </w:tcPr>
          <w:p>
            <w:pPr>
              <w:jc w:val="center"/>
              <w:rPr>
                <w:rFonts w:ascii="黑体" w:hAnsi="黑体" w:eastAsia="黑体"/>
                <w:color w:val="000000"/>
              </w:rPr>
            </w:pPr>
            <w:r>
              <w:rPr>
                <w:rFonts w:ascii="黑体" w:hAnsi="黑体" w:cs="宋体" w:eastAsia="黑体" w:hint="eastAsia"/>
                <w:color w:val="000000" w:themeColor="text1"/>
              </w:rPr>
              <w:t xml:space="preserve">负责人</w:t>
            </w:r>
            <w:r/>
          </w:p>
        </w:tc>
        <w:tc>
          <w:tcPr>
            <w:tcW w:w="1120"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参加</w:t>
            </w:r>
            <w:r/>
          </w:p>
          <w:p>
            <w:pPr>
              <w:jc w:val="center"/>
              <w:rPr>
                <w:rFonts w:ascii="黑体" w:hAnsi="黑体" w:eastAsia="黑体"/>
                <w:color w:val="000000"/>
              </w:rPr>
            </w:pPr>
            <w:r>
              <w:rPr>
                <w:rFonts w:ascii="黑体" w:hAnsi="黑体" w:cs="宋体" w:eastAsia="黑体" w:hint="eastAsia"/>
                <w:color w:val="000000" w:themeColor="text1"/>
              </w:rPr>
              <w:t xml:space="preserve">人员</w:t>
            </w:r>
            <w:r/>
          </w:p>
        </w:tc>
        <w:tc>
          <w:tcPr>
            <w:tcW w:w="1015"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起止</w:t>
            </w:r>
            <w:r/>
          </w:p>
          <w:p>
            <w:pPr>
              <w:jc w:val="center"/>
              <w:rPr>
                <w:rFonts w:ascii="黑体" w:hAnsi="黑体" w:eastAsia="黑体"/>
                <w:color w:val="000000"/>
              </w:rPr>
            </w:pPr>
            <w:r>
              <w:rPr>
                <w:rFonts w:ascii="黑体" w:hAnsi="黑体" w:cs="宋体" w:eastAsia="黑体" w:hint="eastAsia"/>
                <w:color w:val="000000" w:themeColor="text1"/>
              </w:rPr>
              <w:t xml:space="preserve">时间</w:t>
            </w:r>
            <w:r/>
          </w:p>
        </w:tc>
        <w:tc>
          <w:tcPr>
            <w:tcW w:w="1134" w:type="dxa"/>
            <w:vAlign w:val="center"/>
            <w:textDirection w:val="lrTb"/>
            <w:noWrap w:val="false"/>
          </w:tcPr>
          <w:p>
            <w:pPr>
              <w:jc w:val="center"/>
              <w:rPr>
                <w:rFonts w:ascii="黑体" w:hAnsi="黑体" w:cs="宋体" w:eastAsia="黑体"/>
                <w:color w:val="000000"/>
              </w:rPr>
            </w:pPr>
            <w:r>
              <w:rPr>
                <w:rFonts w:ascii="黑体" w:hAnsi="黑体" w:cs="宋体" w:eastAsia="黑体" w:hint="eastAsia"/>
                <w:color w:val="000000" w:themeColor="text1"/>
              </w:rPr>
              <w:t xml:space="preserve">经费</w:t>
            </w:r>
            <w:r/>
          </w:p>
          <w:p>
            <w:pPr>
              <w:jc w:val="center"/>
              <w:rPr>
                <w:rFonts w:ascii="黑体" w:hAnsi="黑体" w:eastAsia="黑体"/>
                <w:color w:val="000000"/>
              </w:rPr>
            </w:pPr>
            <w:r>
              <w:rPr>
                <w:rFonts w:ascii="黑体" w:hAnsi="黑体" w:cs="宋体" w:eastAsia="黑体" w:hint="eastAsia"/>
                <w:color w:val="000000" w:themeColor="text1"/>
              </w:rPr>
              <w:t xml:space="preserve">（</w:t>
            </w:r>
            <w:r>
              <w:rPr>
                <w:rFonts w:ascii="黑体" w:hAnsi="黑体" w:cs="仿宋_GB2312" w:eastAsia="黑体" w:hint="eastAsia"/>
                <w:color w:val="000000" w:themeColor="text1"/>
              </w:rPr>
              <w:t xml:space="preserve">万元</w:t>
            </w:r>
            <w:r>
              <w:rPr>
                <w:rFonts w:ascii="黑体" w:hAnsi="黑体" w:cs="宋体" w:eastAsia="黑体" w:hint="eastAsia"/>
                <w:color w:val="000000" w:themeColor="text1"/>
              </w:rPr>
              <w:t xml:space="preserve">）</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rFonts w:ascii="仿宋" w:hAnsi="仿宋" w:eastAsia="仿宋"/>
                <w:color w:val="000000"/>
                <w:sz w:val="21"/>
                <w:szCs w:val="21"/>
              </w:rPr>
            </w:pPr>
            <w:r>
              <w:rPr>
                <w:rFonts w:hint="eastAsia"/>
                <w:color w:val="000000" w:themeColor="text1"/>
                <w:sz w:val="21"/>
                <w:szCs w:val="21"/>
              </w:rPr>
              <w:t xml:space="preserve">博士后出站留（来）渝科研资助</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2010010004720365</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邓涛</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202101-</w:t>
            </w:r>
            <w:r/>
          </w:p>
          <w:p>
            <w:pPr>
              <w:jc w:val="center"/>
              <w:rPr>
                <w:rFonts w:ascii="仿宋" w:hAnsi="仿宋" w:eastAsia="仿宋"/>
                <w:color w:val="000000"/>
                <w:sz w:val="18"/>
                <w:szCs w:val="18"/>
              </w:rPr>
            </w:pPr>
            <w:r>
              <w:rPr>
                <w:color w:val="000000" w:themeColor="text1"/>
                <w:sz w:val="18"/>
                <w:szCs w:val="18"/>
              </w:rPr>
              <w:t xml:space="preserve">202312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color w:val="000000"/>
                <w:sz w:val="18"/>
                <w:szCs w:val="18"/>
              </w:rPr>
            </w:pPr>
            <w:r>
              <w:rPr>
                <w:rFonts w:hint="eastAsia"/>
                <w:color w:val="000000" w:themeColor="text1"/>
                <w:sz w:val="18"/>
                <w:szCs w:val="18"/>
              </w:rPr>
              <w:t xml:space="preserve">15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rFonts w:ascii="仿宋" w:hAnsi="仿宋" w:eastAsia="仿宋"/>
                <w:color w:val="000000"/>
                <w:sz w:val="21"/>
                <w:szCs w:val="21"/>
              </w:rPr>
            </w:pPr>
            <w:r>
              <w:rPr>
                <w:rFonts w:hint="eastAsia"/>
                <w:color w:val="000000" w:themeColor="text1"/>
                <w:sz w:val="21"/>
                <w:szCs w:val="21"/>
              </w:rPr>
              <w:t xml:space="preserve">基于适配体介导多色发光碳点复合体系的多肽类药物检测新方法研究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82003713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张正伟</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202101-</w:t>
            </w:r>
            <w:r/>
          </w:p>
          <w:p>
            <w:pPr>
              <w:jc w:val="center"/>
              <w:rPr>
                <w:rFonts w:ascii="仿宋" w:hAnsi="仿宋" w:eastAsia="仿宋"/>
                <w:color w:val="000000"/>
                <w:sz w:val="18"/>
                <w:szCs w:val="18"/>
              </w:rPr>
            </w:pPr>
            <w:r>
              <w:rPr>
                <w:color w:val="000000" w:themeColor="text1"/>
                <w:sz w:val="18"/>
                <w:szCs w:val="18"/>
              </w:rPr>
              <w:t xml:space="preserve">202312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color w:val="000000"/>
                <w:sz w:val="18"/>
                <w:szCs w:val="18"/>
              </w:rPr>
            </w:pPr>
            <w:r>
              <w:rPr>
                <w:rFonts w:hint="eastAsia"/>
                <w:color w:val="000000" w:themeColor="text1"/>
                <w:sz w:val="18"/>
                <w:szCs w:val="18"/>
              </w:rPr>
              <w:t xml:space="preserve">24</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3</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rFonts w:ascii="仿宋" w:hAnsi="仿宋" w:eastAsia="仿宋"/>
                <w:color w:val="000000"/>
                <w:sz w:val="21"/>
                <w:szCs w:val="21"/>
              </w:rPr>
            </w:pPr>
            <w:r>
              <w:rPr>
                <w:rFonts w:hint="eastAsia"/>
                <w:color w:val="000000" w:themeColor="text1"/>
                <w:sz w:val="21"/>
                <w:szCs w:val="21"/>
              </w:rPr>
              <w:t xml:space="preserve">仿生</w:t>
            </w:r>
            <w:r>
              <w:rPr>
                <w:rFonts w:hint="eastAsia"/>
                <w:color w:val="000000" w:themeColor="text1"/>
                <w:sz w:val="21"/>
                <w:szCs w:val="21"/>
              </w:rPr>
              <w:t xml:space="preserve">DNA</w:t>
            </w:r>
            <w:r>
              <w:rPr>
                <w:rFonts w:hint="eastAsia"/>
                <w:color w:val="000000" w:themeColor="text1"/>
                <w:sz w:val="21"/>
                <w:szCs w:val="21"/>
              </w:rPr>
              <w:t xml:space="preserve">柔性纳米笼递药系统的肿瘤靶向、渗透性及疗效研究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cstc2020jscx-msxmX0070</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于超</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马丽梅,秦霞（学）,何会（学）</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202010-</w:t>
            </w:r>
            <w:r/>
          </w:p>
          <w:p>
            <w:pPr>
              <w:jc w:val="center"/>
              <w:rPr>
                <w:rFonts w:ascii="仿宋" w:hAnsi="仿宋" w:eastAsia="仿宋"/>
                <w:color w:val="000000"/>
                <w:sz w:val="18"/>
                <w:szCs w:val="18"/>
              </w:rPr>
            </w:pPr>
            <w:r>
              <w:rPr>
                <w:color w:val="000000" w:themeColor="text1"/>
                <w:sz w:val="18"/>
                <w:szCs w:val="18"/>
              </w:rPr>
              <w:t xml:space="preserve">202310</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color w:val="000000"/>
                <w:sz w:val="18"/>
                <w:szCs w:val="18"/>
              </w:rPr>
            </w:pPr>
            <w:r>
              <w:rPr>
                <w:rFonts w:hint="eastAsia"/>
                <w:color w:val="000000" w:themeColor="text1"/>
                <w:sz w:val="18"/>
                <w:szCs w:val="18"/>
              </w:rPr>
              <w:t xml:space="preserve">20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4</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rFonts w:ascii="仿宋" w:hAnsi="仿宋" w:eastAsia="仿宋"/>
                <w:color w:val="000000"/>
                <w:sz w:val="21"/>
                <w:szCs w:val="21"/>
              </w:rPr>
            </w:pPr>
            <w:r>
              <w:rPr>
                <w:rFonts w:hint="eastAsia"/>
                <w:color w:val="000000" w:themeColor="text1"/>
                <w:sz w:val="21"/>
                <w:szCs w:val="21"/>
              </w:rPr>
              <w:t xml:space="preserve">西部医学中心建设的内涵与评价研究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cstc2020jsyj-zzysbAX0063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严波</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谢春鹰（外）,沈鹏（外）</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202009-</w:t>
            </w:r>
            <w:r/>
          </w:p>
          <w:p>
            <w:pPr>
              <w:jc w:val="center"/>
              <w:rPr>
                <w:rFonts w:ascii="仿宋" w:hAnsi="仿宋" w:eastAsia="仿宋"/>
                <w:color w:val="000000"/>
                <w:sz w:val="18"/>
                <w:szCs w:val="18"/>
              </w:rPr>
            </w:pPr>
            <w:r>
              <w:rPr>
                <w:color w:val="000000" w:themeColor="text1"/>
                <w:sz w:val="18"/>
                <w:szCs w:val="18"/>
              </w:rPr>
              <w:t xml:space="preserve">202208</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color w:val="000000"/>
                <w:sz w:val="18"/>
                <w:szCs w:val="18"/>
              </w:rPr>
            </w:pPr>
            <w:r>
              <w:rPr>
                <w:rFonts w:hint="eastAsia"/>
                <w:color w:val="000000" w:themeColor="text1"/>
                <w:sz w:val="18"/>
                <w:szCs w:val="18"/>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5</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rFonts w:ascii="仿宋" w:hAnsi="仿宋" w:eastAsia="仿宋"/>
                <w:color w:val="000000"/>
                <w:sz w:val="21"/>
                <w:szCs w:val="21"/>
              </w:rPr>
            </w:pPr>
            <w:r>
              <w:rPr>
                <w:rFonts w:hint="eastAsia"/>
                <w:color w:val="000000" w:themeColor="text1"/>
                <w:sz w:val="21"/>
                <w:szCs w:val="21"/>
              </w:rPr>
              <w:t xml:space="preserve">SGK3</w:t>
            </w:r>
            <w:r>
              <w:rPr>
                <w:rFonts w:hint="eastAsia"/>
                <w:color w:val="000000" w:themeColor="text1"/>
                <w:sz w:val="21"/>
                <w:szCs w:val="21"/>
              </w:rPr>
              <w:t xml:space="preserve">靶向抑制剂</w:t>
            </w:r>
            <w:r>
              <w:rPr>
                <w:rFonts w:hint="eastAsia"/>
                <w:color w:val="000000" w:themeColor="text1"/>
                <w:sz w:val="21"/>
                <w:szCs w:val="21"/>
              </w:rPr>
              <w:t xml:space="preserve">zinc-09</w:t>
            </w:r>
            <w:r>
              <w:rPr>
                <w:rFonts w:hint="eastAsia"/>
                <w:color w:val="000000" w:themeColor="text1"/>
                <w:sz w:val="21"/>
                <w:szCs w:val="21"/>
              </w:rPr>
              <w:t xml:space="preserve">通过</w:t>
            </w:r>
            <w:r>
              <w:rPr>
                <w:rFonts w:hint="eastAsia"/>
                <w:color w:val="000000" w:themeColor="text1"/>
                <w:sz w:val="21"/>
                <w:szCs w:val="21"/>
              </w:rPr>
              <w:t xml:space="preserve">Foxo3a</w:t>
            </w:r>
            <w:r>
              <w:rPr>
                <w:rFonts w:hint="eastAsia"/>
                <w:color w:val="000000" w:themeColor="text1"/>
                <w:sz w:val="21"/>
                <w:szCs w:val="21"/>
              </w:rPr>
              <w:t xml:space="preserve">诱导</w:t>
            </w:r>
            <w:r>
              <w:rPr>
                <w:rFonts w:hint="eastAsia"/>
                <w:color w:val="000000" w:themeColor="text1"/>
                <w:sz w:val="21"/>
                <w:szCs w:val="21"/>
              </w:rPr>
              <w:t xml:space="preserve">ER</w:t>
            </w:r>
            <w:r>
              <w:rPr>
                <w:rFonts w:hint="eastAsia"/>
                <w:color w:val="000000" w:themeColor="text1"/>
                <w:sz w:val="21"/>
                <w:szCs w:val="21"/>
              </w:rPr>
              <w:t xml:space="preserve">阳性乳腺癌自噬性死亡的机制研究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cstc2020jcyj-msxmX0223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rFonts w:ascii="仿宋" w:hAnsi="仿宋" w:eastAsia="仿宋"/>
                <w:color w:val="000000"/>
                <w:sz w:val="21"/>
                <w:szCs w:val="21"/>
              </w:rPr>
            </w:pPr>
            <w:r>
              <w:rPr>
                <w:rFonts w:hint="eastAsia"/>
                <w:color w:val="000000" w:themeColor="text1"/>
                <w:sz w:val="21"/>
                <w:szCs w:val="21"/>
              </w:rPr>
              <w:t xml:space="preserve">李小丽</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周维英,周端方（学）,于晓萍（学）,宋燚</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202007-</w:t>
            </w:r>
            <w:r/>
          </w:p>
          <w:p>
            <w:pPr>
              <w:jc w:val="center"/>
              <w:rPr>
                <w:rFonts w:ascii="仿宋" w:hAnsi="仿宋" w:eastAsia="仿宋"/>
                <w:color w:val="000000"/>
                <w:sz w:val="18"/>
                <w:szCs w:val="18"/>
              </w:rPr>
            </w:pPr>
            <w:r>
              <w:rPr>
                <w:color w:val="000000" w:themeColor="text1"/>
                <w:sz w:val="18"/>
                <w:szCs w:val="18"/>
              </w:rPr>
              <w:t xml:space="preserve">202306</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rFonts w:ascii="仿宋" w:hAnsi="仿宋" w:eastAsia="仿宋"/>
                <w:color w:val="000000"/>
                <w:sz w:val="18"/>
                <w:szCs w:val="18"/>
              </w:rPr>
            </w:pPr>
            <w:r>
              <w:rPr>
                <w:rFonts w:hint="eastAsia"/>
                <w:color w:val="000000" w:themeColor="text1"/>
                <w:sz w:val="18"/>
                <w:szCs w:val="18"/>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6</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CBD3</w:t>
            </w:r>
            <w:r>
              <w:rPr>
                <w:rFonts w:hint="eastAsia"/>
                <w:color w:val="000000" w:themeColor="text1"/>
                <w:sz w:val="21"/>
                <w:szCs w:val="21"/>
              </w:rPr>
              <w:t xml:space="preserve">样物质通过</w:t>
            </w:r>
            <w:r>
              <w:rPr>
                <w:rFonts w:hint="eastAsia"/>
                <w:color w:val="000000" w:themeColor="text1"/>
                <w:sz w:val="21"/>
                <w:szCs w:val="21"/>
              </w:rPr>
              <w:t xml:space="preserve">CRMP2 Ser522</w:t>
            </w:r>
            <w:r>
              <w:rPr>
                <w:rFonts w:hint="eastAsia"/>
                <w:color w:val="000000" w:themeColor="text1"/>
                <w:sz w:val="21"/>
                <w:szCs w:val="21"/>
              </w:rPr>
              <w:t xml:space="preserve">磷酸化调控</w:t>
            </w:r>
            <w:r>
              <w:rPr>
                <w:rFonts w:hint="eastAsia"/>
                <w:color w:val="000000" w:themeColor="text1"/>
                <w:sz w:val="21"/>
                <w:szCs w:val="21"/>
              </w:rPr>
              <w:t xml:space="preserve">CRMP2-Cav2.2</w:t>
            </w:r>
            <w:r>
              <w:rPr>
                <w:rFonts w:hint="eastAsia"/>
                <w:color w:val="000000" w:themeColor="text1"/>
                <w:sz w:val="21"/>
                <w:szCs w:val="21"/>
              </w:rPr>
              <w:t xml:space="preserve">通路治疗慢性疼痛的外周机制研究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cstc2020jcyj-msxmX0706</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冉冬芝</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蒋文高,罗映,陈志昊（外）</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202010-</w:t>
            </w:r>
            <w:r/>
          </w:p>
          <w:p>
            <w:pPr>
              <w:jc w:val="center"/>
              <w:rPr>
                <w:color w:val="000000"/>
                <w:sz w:val="18"/>
                <w:szCs w:val="18"/>
              </w:rPr>
            </w:pPr>
            <w:r>
              <w:rPr>
                <w:color w:val="000000" w:themeColor="text1"/>
                <w:sz w:val="18"/>
                <w:szCs w:val="18"/>
              </w:rPr>
              <w:t xml:space="preserve">202310</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10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7</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重庆英才•青年拔尖人才项目</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肖斌</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202009-</w:t>
            </w:r>
            <w:r/>
          </w:p>
          <w:p>
            <w:pPr>
              <w:jc w:val="center"/>
              <w:rPr>
                <w:color w:val="000000"/>
                <w:sz w:val="18"/>
                <w:szCs w:val="18"/>
              </w:rPr>
            </w:pPr>
            <w:r>
              <w:rPr>
                <w:color w:val="000000" w:themeColor="text1"/>
                <w:sz w:val="18"/>
                <w:szCs w:val="18"/>
              </w:rPr>
              <w:t xml:space="preserve">202309</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8</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新发现的环状</w:t>
            </w:r>
            <w:r>
              <w:rPr>
                <w:rFonts w:hint="eastAsia"/>
                <w:color w:val="000000" w:themeColor="text1"/>
                <w:sz w:val="21"/>
                <w:szCs w:val="21"/>
              </w:rPr>
              <w:t xml:space="preserve">RNAcirc_0003692</w:t>
            </w:r>
            <w:r>
              <w:rPr>
                <w:rFonts w:hint="eastAsia"/>
                <w:color w:val="000000" w:themeColor="text1"/>
                <w:sz w:val="21"/>
                <w:szCs w:val="21"/>
              </w:rPr>
              <w:t xml:space="preserve">编码多肽</w:t>
            </w:r>
            <w:r>
              <w:rPr>
                <w:rFonts w:hint="eastAsia"/>
                <w:color w:val="000000" w:themeColor="text1"/>
                <w:sz w:val="21"/>
                <w:szCs w:val="21"/>
              </w:rPr>
              <w:t xml:space="preserve">FNDC3B-276aa</w:t>
            </w:r>
            <w:r>
              <w:rPr>
                <w:rFonts w:hint="eastAsia"/>
                <w:color w:val="000000" w:themeColor="text1"/>
                <w:sz w:val="21"/>
                <w:szCs w:val="21"/>
              </w:rPr>
              <w:t xml:space="preserve">竞争结合</w:t>
            </w:r>
            <w:r>
              <w:rPr>
                <w:rFonts w:hint="eastAsia"/>
                <w:color w:val="000000" w:themeColor="text1"/>
                <w:sz w:val="21"/>
                <w:szCs w:val="21"/>
              </w:rPr>
              <w:t xml:space="preserve">TRIP13</w:t>
            </w:r>
            <w:r>
              <w:rPr>
                <w:rFonts w:hint="eastAsia"/>
                <w:color w:val="000000" w:themeColor="text1"/>
                <w:sz w:val="21"/>
                <w:szCs w:val="21"/>
              </w:rPr>
              <w:t xml:space="preserve">蛋白抑制胃癌生长和转移的作用机制研究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82073254</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肖斌</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王婷婷,王婷婷,马丽梅,姚欣彤（学）,周端方（学）</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202101-</w:t>
            </w:r>
            <w:r/>
          </w:p>
          <w:p>
            <w:pPr>
              <w:jc w:val="center"/>
              <w:rPr>
                <w:color w:val="000000"/>
                <w:sz w:val="18"/>
                <w:szCs w:val="18"/>
              </w:rPr>
            </w:pPr>
            <w:r>
              <w:rPr>
                <w:color w:val="000000" w:themeColor="text1"/>
                <w:sz w:val="18"/>
                <w:szCs w:val="18"/>
              </w:rPr>
              <w:t xml:space="preserve">202412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9</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基于功能化</w:t>
            </w:r>
            <w:r>
              <w:rPr>
                <w:rFonts w:hint="eastAsia"/>
                <w:color w:val="000000" w:themeColor="text1"/>
                <w:sz w:val="21"/>
                <w:szCs w:val="21"/>
              </w:rPr>
              <w:t xml:space="preserve">Ni6MnO8@C60</w:t>
            </w:r>
            <w:r>
              <w:rPr>
                <w:rFonts w:hint="eastAsia"/>
                <w:color w:val="000000" w:themeColor="text1"/>
                <w:sz w:val="21"/>
                <w:szCs w:val="21"/>
              </w:rPr>
              <w:t xml:space="preserve">纳米探针和无酶核酸信号放大的癌症血清标志物检测新方法研究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82072378</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白丽娟</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母昭德,袁拥华,陈雨晗（学）,王新（学）</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202101-</w:t>
            </w:r>
            <w:r/>
          </w:p>
          <w:p>
            <w:pPr>
              <w:jc w:val="center"/>
              <w:rPr>
                <w:color w:val="000000"/>
                <w:sz w:val="18"/>
                <w:szCs w:val="18"/>
              </w:rPr>
            </w:pPr>
            <w:r>
              <w:rPr>
                <w:color w:val="000000" w:themeColor="text1"/>
                <w:sz w:val="18"/>
                <w:szCs w:val="18"/>
              </w:rPr>
              <w:t xml:space="preserve">202412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10</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重庆市高校创新研究群体</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20200426</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周维英</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于超,张普,王婷婷李小丽,邓涛</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202007-</w:t>
            </w:r>
            <w:r/>
          </w:p>
          <w:p>
            <w:pPr>
              <w:jc w:val="center"/>
              <w:rPr>
                <w:color w:val="000000"/>
                <w:sz w:val="18"/>
                <w:szCs w:val="18"/>
              </w:rPr>
            </w:pPr>
            <w:r>
              <w:rPr>
                <w:color w:val="000000" w:themeColor="text1"/>
                <w:sz w:val="18"/>
                <w:szCs w:val="18"/>
              </w:rPr>
              <w:t xml:space="preserve">202306</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11</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血管损伤机制与纳米医药研究团队</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CQYC201903166</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于超</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周宏灏,周维英,邹琳（外）,董志（外）</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202004-</w:t>
            </w:r>
            <w:r/>
          </w:p>
          <w:p>
            <w:pPr>
              <w:jc w:val="center"/>
              <w:rPr>
                <w:color w:val="000000"/>
                <w:sz w:val="18"/>
                <w:szCs w:val="18"/>
              </w:rPr>
            </w:pPr>
            <w:r>
              <w:rPr>
                <w:color w:val="000000" w:themeColor="text1"/>
                <w:sz w:val="18"/>
                <w:szCs w:val="18"/>
              </w:rPr>
              <w:t xml:space="preserve">202204</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30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新型核酸生物传感器用于结核感染检测的方法学研究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重医大文</w:t>
            </w:r>
            <w:r>
              <w:rPr>
                <w:rFonts w:hint="eastAsia"/>
                <w:color w:val="000000" w:themeColor="text1"/>
                <w:sz w:val="21"/>
                <w:szCs w:val="21"/>
              </w:rPr>
              <w:t xml:space="preserve">[2019]523</w:t>
            </w:r>
            <w:r>
              <w:rPr>
                <w:rFonts w:hint="eastAsia"/>
                <w:color w:val="000000" w:themeColor="text1"/>
                <w:sz w:val="21"/>
                <w:szCs w:val="21"/>
              </w:rPr>
              <w:t xml:space="preserve">号</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白丽娟</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80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13</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基于二维纳米材料表面能量转移高灵敏临床检测方法学构建</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w:t>
            </w:r>
            <w:r>
              <w:rPr>
                <w:rFonts w:hint="eastAsia"/>
                <w:color w:val="000000" w:themeColor="text1"/>
                <w:sz w:val="21"/>
                <w:szCs w:val="21"/>
              </w:rPr>
              <w:t xml:space="preserve">2019</w:t>
            </w:r>
            <w:r>
              <w:rPr>
                <w:rFonts w:hint="eastAsia"/>
                <w:color w:val="000000" w:themeColor="text1"/>
                <w:sz w:val="21"/>
                <w:szCs w:val="21"/>
              </w:rPr>
              <w:t xml:space="preserve">】</w:t>
            </w:r>
            <w:r>
              <w:rPr>
                <w:rFonts w:hint="eastAsia"/>
                <w:color w:val="000000" w:themeColor="text1"/>
                <w:sz w:val="21"/>
                <w:szCs w:val="21"/>
              </w:rPr>
              <w:t xml:space="preserve">523</w:t>
            </w:r>
            <w:r>
              <w:rPr>
                <w:rFonts w:hint="eastAsia"/>
                <w:color w:val="000000" w:themeColor="text1"/>
                <w:sz w:val="21"/>
                <w:szCs w:val="21"/>
              </w:rPr>
              <w:t xml:space="preserve">号</w:t>
            </w:r>
            <w:r>
              <w:rPr>
                <w:rFonts w:hint="eastAsia"/>
                <w:color w:val="000000" w:themeColor="text1"/>
                <w:sz w:val="21"/>
                <w:szCs w:val="21"/>
              </w:rPr>
              <w:t xml:space="preserve">2</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张普</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100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14</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生物标志物检测新原理新方法研究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渝教人发</w:t>
            </w:r>
            <w:r>
              <w:rPr>
                <w:rFonts w:hint="eastAsia"/>
                <w:color w:val="000000" w:themeColor="text1"/>
                <w:sz w:val="21"/>
                <w:szCs w:val="21"/>
              </w:rPr>
              <w:t xml:space="preserve">[2019]30</w:t>
            </w:r>
            <w:r>
              <w:rPr>
                <w:rFonts w:hint="eastAsia"/>
                <w:color w:val="000000" w:themeColor="text1"/>
                <w:sz w:val="21"/>
                <w:szCs w:val="21"/>
              </w:rPr>
              <w:t xml:space="preserve">号</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白丽娟</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18</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15</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重庆市英才创新领军人才</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01904</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周维英</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16</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“重庆英才计划”青年拔尖人才项目</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CQYC201905043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张普</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17</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一种检测血液中低丰度蛋白的纳米荧光方法学研究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81972020</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张普</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张军,陈永洁,刘来成</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202312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18</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胃癌相关中性粒细胞通过</w:t>
            </w:r>
            <w:r>
              <w:rPr>
                <w:rFonts w:hint="eastAsia"/>
                <w:color w:val="000000" w:themeColor="text1"/>
                <w:sz w:val="21"/>
                <w:szCs w:val="21"/>
              </w:rPr>
              <w:t xml:space="preserve">Fas-L-Fas</w:t>
            </w:r>
            <w:r>
              <w:rPr>
                <w:rFonts w:hint="eastAsia"/>
                <w:color w:val="000000" w:themeColor="text1"/>
                <w:sz w:val="21"/>
                <w:szCs w:val="21"/>
              </w:rPr>
              <w:t xml:space="preserve">通路介导效应</w:t>
            </w:r>
            <w:r>
              <w:rPr>
                <w:rFonts w:hint="eastAsia"/>
                <w:color w:val="000000" w:themeColor="text1"/>
                <w:sz w:val="21"/>
                <w:szCs w:val="21"/>
              </w:rPr>
              <w:t xml:space="preserve">T</w:t>
            </w:r>
            <w:r>
              <w:rPr>
                <w:rFonts w:hint="eastAsia"/>
                <w:color w:val="000000" w:themeColor="text1"/>
                <w:sz w:val="21"/>
                <w:szCs w:val="21"/>
              </w:rPr>
              <w:t xml:space="preserve">细胞凋亡在胃癌进展</w:t>
            </w:r>
            <w:r>
              <w:rPr>
                <w:rFonts w:hint="eastAsia"/>
                <w:color w:val="000000" w:themeColor="text1"/>
                <w:sz w:val="21"/>
                <w:szCs w:val="21"/>
              </w:rPr>
              <w:t xml:space="preserve"> </w:t>
            </w:r>
            <w:r>
              <w:rPr>
                <w:rFonts w:hint="eastAsia"/>
                <w:color w:val="000000" w:themeColor="text1"/>
                <w:sz w:val="21"/>
                <w:szCs w:val="21"/>
              </w:rPr>
              <w:t xml:space="preserve">中的作用及机制研究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81902922</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王婷婷</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21</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19</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基于克服耐药性的</w:t>
            </w:r>
            <w:r>
              <w:rPr>
                <w:rFonts w:hint="eastAsia"/>
                <w:color w:val="000000" w:themeColor="text1"/>
                <w:sz w:val="21"/>
                <w:szCs w:val="21"/>
              </w:rPr>
              <w:t xml:space="preserve">ALK</w:t>
            </w:r>
            <w:r>
              <w:rPr>
                <w:rFonts w:hint="eastAsia"/>
                <w:color w:val="000000" w:themeColor="text1"/>
                <w:sz w:val="21"/>
                <w:szCs w:val="21"/>
              </w:rPr>
              <w:t xml:space="preserve">和</w:t>
            </w:r>
            <w:r>
              <w:rPr>
                <w:rFonts w:hint="eastAsia"/>
                <w:color w:val="000000" w:themeColor="text1"/>
                <w:sz w:val="21"/>
                <w:szCs w:val="21"/>
              </w:rPr>
              <w:t xml:space="preserve">HDAC</w:t>
            </w:r>
            <w:r>
              <w:rPr>
                <w:rFonts w:hint="eastAsia"/>
                <w:color w:val="000000" w:themeColor="text1"/>
                <w:sz w:val="21"/>
                <w:szCs w:val="21"/>
              </w:rPr>
              <w:t xml:space="preserve">双靶点抑制剂的设计合成及生物活性研究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21907013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甘宗捷</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202001-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25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20</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新发现的环状</w:t>
            </w:r>
            <w:r>
              <w:rPr>
                <w:rFonts w:hint="eastAsia"/>
                <w:color w:val="000000" w:themeColor="text1"/>
                <w:sz w:val="21"/>
                <w:szCs w:val="21"/>
              </w:rPr>
              <w:t xml:space="preserve">RNA (Circ-TNPO3)</w:t>
            </w:r>
            <w:r>
              <w:rPr>
                <w:rFonts w:hint="eastAsia"/>
                <w:color w:val="000000" w:themeColor="text1"/>
                <w:sz w:val="21"/>
                <w:szCs w:val="21"/>
              </w:rPr>
              <w:t xml:space="preserve">具有竞争结合</w:t>
            </w:r>
            <w:r>
              <w:rPr>
                <w:rFonts w:hint="eastAsia"/>
                <w:color w:val="000000" w:themeColor="text1"/>
                <w:sz w:val="21"/>
                <w:szCs w:val="21"/>
              </w:rPr>
              <w:t xml:space="preserve">miR-199a-5p</w:t>
            </w:r>
            <w:r>
              <w:rPr>
                <w:rFonts w:hint="eastAsia"/>
                <w:color w:val="000000" w:themeColor="text1"/>
                <w:sz w:val="21"/>
                <w:szCs w:val="21"/>
              </w:rPr>
              <w:t xml:space="preserve">与</w:t>
            </w:r>
            <w:r>
              <w:rPr>
                <w:rFonts w:hint="eastAsia"/>
                <w:color w:val="000000" w:themeColor="text1"/>
                <w:sz w:val="21"/>
                <w:szCs w:val="21"/>
              </w:rPr>
              <w:t xml:space="preserve">HuR</w:t>
            </w:r>
            <w:r>
              <w:rPr>
                <w:rFonts w:hint="eastAsia"/>
                <w:color w:val="000000" w:themeColor="text1"/>
                <w:sz w:val="21"/>
                <w:szCs w:val="21"/>
              </w:rPr>
              <w:t xml:space="preserve">蛋白的双重功能及其在抑制胃癌转移中的</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81872392</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肖斌</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hint="eastAsia"/>
                <w:color w:val="000000" w:themeColor="text1"/>
                <w:sz w:val="21"/>
                <w:szCs w:val="21"/>
              </w:rPr>
              <w:t xml:space="preserve">左钱飞（外）,彭六生（外）,余婷（外）,李萌萌（外）</w:t>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201901-</w:t>
            </w:r>
            <w:r/>
          </w:p>
          <w:p>
            <w:pPr>
              <w:jc w:val="center"/>
              <w:rPr>
                <w:color w:val="000000"/>
                <w:sz w:val="18"/>
                <w:szCs w:val="18"/>
              </w:rPr>
            </w:pPr>
            <w:r>
              <w:rPr>
                <w:color w:val="000000" w:themeColor="text1"/>
                <w:sz w:val="18"/>
                <w:szCs w:val="18"/>
              </w:rPr>
              <w:t xml:space="preserve">202212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57</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21</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基于大数据和网络分析的</w:t>
            </w:r>
            <w:r>
              <w:rPr>
                <w:rFonts w:hint="eastAsia"/>
                <w:color w:val="000000" w:themeColor="text1"/>
                <w:sz w:val="21"/>
                <w:szCs w:val="21"/>
              </w:rPr>
              <w:t xml:space="preserve">PPCPs</w:t>
            </w:r>
            <w:r>
              <w:rPr>
                <w:rFonts w:hint="eastAsia"/>
                <w:color w:val="000000" w:themeColor="text1"/>
                <w:sz w:val="21"/>
                <w:szCs w:val="21"/>
              </w:rPr>
              <w:t xml:space="preserve">导致肝损伤的毒理作用机制研究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22176020</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widowControl/>
              <w:rPr>
                <w:rFonts w:ascii="Arial" w:hAnsi="Arial" w:cs="Arial"/>
                <w:color w:val="000000"/>
                <w:sz w:val="20"/>
                <w:szCs w:val="20"/>
              </w:rPr>
            </w:pPr>
            <w:r>
              <w:rPr>
                <w:rFonts w:ascii="Arial" w:hAnsi="Arial" w:cs="Arial" w:eastAsia="宋体"/>
                <w:color w:val="000000" w:themeColor="text1"/>
                <w:sz w:val="20"/>
                <w:szCs w:val="20"/>
                <w:lang w:bidi="ar"/>
              </w:rPr>
              <w:t xml:space="preserve">张永红</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22</w:t>
            </w:r>
            <w:r>
              <w:rPr>
                <w:color w:val="000000" w:themeColor="text1"/>
                <w:sz w:val="18"/>
                <w:szCs w:val="18"/>
              </w:rPr>
              <w:t xml:space="preserve">01-</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5</w:t>
            </w:r>
            <w:r>
              <w:rPr>
                <w:color w:val="000000" w:themeColor="text1"/>
                <w:sz w:val="18"/>
                <w:szCs w:val="18"/>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60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22</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LncRNA-MALAT1/miR-211-5p</w:t>
            </w:r>
            <w:r>
              <w:rPr>
                <w:rFonts w:hint="eastAsia"/>
                <w:color w:val="000000" w:themeColor="text1"/>
                <w:sz w:val="21"/>
                <w:szCs w:val="21"/>
              </w:rPr>
              <w:t xml:space="preserve">内源性靶向</w:t>
            </w:r>
            <w:r>
              <w:rPr>
                <w:rFonts w:hint="eastAsia"/>
                <w:color w:val="000000" w:themeColor="text1"/>
                <w:sz w:val="21"/>
                <w:szCs w:val="21"/>
              </w:rPr>
              <w:t xml:space="preserve">COX-2</w:t>
            </w:r>
            <w:r>
              <w:rPr>
                <w:rFonts w:hint="eastAsia"/>
                <w:color w:val="000000" w:themeColor="text1"/>
                <w:sz w:val="21"/>
                <w:szCs w:val="21"/>
              </w:rPr>
              <w:t xml:space="preserve">表达调控缺血再灌注致神经元损伤的分子机制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82173793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杨俊卿</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22</w:t>
            </w:r>
            <w:r>
              <w:rPr>
                <w:color w:val="000000" w:themeColor="text1"/>
                <w:sz w:val="18"/>
                <w:szCs w:val="18"/>
              </w:rPr>
              <w:t xml:space="preserve">01-</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5</w:t>
            </w:r>
            <w:r>
              <w:rPr>
                <w:color w:val="000000" w:themeColor="text1"/>
                <w:sz w:val="18"/>
                <w:szCs w:val="18"/>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23</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雷公藤红素靶向</w:t>
            </w:r>
            <w:r>
              <w:rPr>
                <w:rFonts w:hint="eastAsia"/>
                <w:color w:val="000000" w:themeColor="text1"/>
                <w:sz w:val="21"/>
                <w:szCs w:val="21"/>
              </w:rPr>
              <w:t xml:space="preserve">ChREBP/TXNIP</w:t>
            </w:r>
            <w:r>
              <w:rPr>
                <w:rFonts w:hint="eastAsia"/>
                <w:color w:val="000000" w:themeColor="text1"/>
                <w:sz w:val="21"/>
                <w:szCs w:val="21"/>
              </w:rPr>
              <w:t xml:space="preserve">轴抗Ⅱ型糖尿病作用及机制研究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widowControl/>
              <w:rPr>
                <w:rFonts w:ascii="Arial" w:hAnsi="Arial" w:cs="Arial"/>
                <w:color w:val="000000"/>
                <w:sz w:val="20"/>
                <w:szCs w:val="20"/>
              </w:rPr>
            </w:pPr>
            <w:r>
              <w:rPr>
                <w:color w:val="000000" w:themeColor="text1"/>
                <w:sz w:val="21"/>
                <w:szCs w:val="21"/>
              </w:rPr>
              <w:t xml:space="preserve">82173869</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周维英</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22</w:t>
            </w:r>
            <w:r>
              <w:rPr>
                <w:color w:val="000000" w:themeColor="text1"/>
                <w:sz w:val="18"/>
                <w:szCs w:val="18"/>
              </w:rPr>
              <w:t xml:space="preserve">01-</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5</w:t>
            </w:r>
            <w:r>
              <w:rPr>
                <w:color w:val="000000" w:themeColor="text1"/>
                <w:sz w:val="18"/>
                <w:szCs w:val="18"/>
              </w:rPr>
              <w:t xml:space="preserve">12</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55</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24</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雷公藤红素降糖作用及机制研究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cstc2021ycjh-bgzxm0133</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周维英</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21</w:t>
            </w:r>
            <w:r>
              <w:rPr>
                <w:color w:val="000000" w:themeColor="text1"/>
                <w:sz w:val="18"/>
                <w:szCs w:val="18"/>
              </w:rPr>
              <w:t xml:space="preserve">0</w:t>
            </w:r>
            <w:r>
              <w:rPr>
                <w:rFonts w:hint="eastAsia"/>
                <w:color w:val="000000" w:themeColor="text1"/>
                <w:sz w:val="18"/>
                <w:szCs w:val="18"/>
              </w:rPr>
              <w:t xml:space="preserve">6</w:t>
            </w:r>
            <w:r>
              <w:rPr>
                <w:color w:val="000000" w:themeColor="text1"/>
                <w:sz w:val="18"/>
                <w:szCs w:val="18"/>
              </w:rPr>
              <w:t xml:space="preserve">-</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405</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25</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新型功能材料及生物技术在体外诊断中的应用研究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cstc2021ycjh-bgzxm0328</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widowControl/>
              <w:rPr>
                <w:rFonts w:ascii="Arial" w:hAnsi="Arial" w:cs="Arial"/>
                <w:color w:val="000000"/>
                <w:sz w:val="20"/>
                <w:szCs w:val="20"/>
              </w:rPr>
            </w:pPr>
            <w:r>
              <w:rPr>
                <w:rFonts w:ascii="Arial" w:hAnsi="Arial" w:cs="Arial" w:eastAsia="宋体"/>
                <w:color w:val="000000" w:themeColor="text1"/>
                <w:sz w:val="20"/>
                <w:szCs w:val="20"/>
                <w:lang w:bidi="ar"/>
              </w:rPr>
              <w:t xml:space="preserve">白丽娟</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21</w:t>
            </w:r>
            <w:r>
              <w:rPr>
                <w:color w:val="000000" w:themeColor="text1"/>
                <w:sz w:val="18"/>
                <w:szCs w:val="18"/>
              </w:rPr>
              <w:t xml:space="preserve">0</w:t>
            </w:r>
            <w:r>
              <w:rPr>
                <w:rFonts w:hint="eastAsia"/>
                <w:color w:val="000000" w:themeColor="text1"/>
                <w:sz w:val="18"/>
                <w:szCs w:val="18"/>
              </w:rPr>
              <w:t xml:space="preserve">6</w:t>
            </w:r>
            <w:r>
              <w:rPr>
                <w:color w:val="000000" w:themeColor="text1"/>
                <w:sz w:val="18"/>
                <w:szCs w:val="18"/>
              </w:rPr>
              <w:t xml:space="preserve">-</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405</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r>
        <w:trPr/>
        <w:tc>
          <w:tcPr>
            <w:shd w:val="clear" w:color="auto" w:fill="auto"/>
            <w:tcBorders>
              <w:left w:val="single" w:sz="6" w:space="0" w:color="auto"/>
              <w:top w:val="single" w:sz="6" w:space="0" w:color="auto"/>
              <w:right w:val="single" w:sz="6" w:space="0" w:color="auto"/>
              <w:bottom w:val="single" w:sz="6" w:space="0" w:color="auto"/>
            </w:tcBorders>
            <w:tcW w:w="851" w:type="dxa"/>
            <w:vAlign w:val="center"/>
            <w:textDirection w:val="lrTb"/>
            <w:noWrap w:val="false"/>
          </w:tcPr>
          <w:p>
            <w:pPr>
              <w:jc w:val="center"/>
              <w:rPr>
                <w:rFonts w:ascii="仿宋" w:hAnsi="仿宋" w:cs="宋体" w:eastAsia="仿宋"/>
                <w:color w:val="000000"/>
                <w:sz w:val="21"/>
                <w:szCs w:val="21"/>
              </w:rPr>
            </w:pPr>
            <w:r>
              <w:rPr>
                <w:rFonts w:ascii="仿宋" w:hAnsi="仿宋" w:cs="宋体" w:eastAsia="仿宋" w:hint="eastAsia"/>
                <w:color w:val="000000" w:themeColor="text1"/>
                <w:sz w:val="21"/>
                <w:szCs w:val="21"/>
              </w:rPr>
              <w:t xml:space="preserve">26</w:t>
            </w:r>
            <w:r/>
          </w:p>
        </w:tc>
        <w:tc>
          <w:tcPr>
            <w:shd w:val="clear" w:color="auto" w:fill="auto"/>
            <w:tcBorders>
              <w:left w:val="single" w:sz="6" w:space="0" w:color="auto"/>
              <w:top w:val="single" w:sz="6" w:space="0" w:color="auto"/>
              <w:right w:val="single" w:sz="6" w:space="0" w:color="auto"/>
              <w:bottom w:val="single" w:sz="6" w:space="0" w:color="auto"/>
            </w:tcBorders>
            <w:tcW w:w="2091" w:type="dxa"/>
            <w:textDirection w:val="lrTb"/>
            <w:noWrap w:val="false"/>
          </w:tcPr>
          <w:p>
            <w:pPr>
              <w:jc w:val="left"/>
              <w:rPr>
                <w:color w:val="000000"/>
                <w:sz w:val="21"/>
                <w:szCs w:val="21"/>
              </w:rPr>
            </w:pPr>
            <w:r>
              <w:rPr>
                <w:rFonts w:hint="eastAsia"/>
                <w:color w:val="000000" w:themeColor="text1"/>
                <w:sz w:val="21"/>
                <w:szCs w:val="21"/>
              </w:rPr>
              <w:t xml:space="preserve">环状</w:t>
            </w:r>
            <w:r>
              <w:rPr>
                <w:rFonts w:hint="eastAsia"/>
                <w:color w:val="000000" w:themeColor="text1"/>
                <w:sz w:val="21"/>
                <w:szCs w:val="21"/>
              </w:rPr>
              <w:t xml:space="preserve">RNA</w:t>
            </w:r>
            <w:r>
              <w:rPr>
                <w:rFonts w:hint="eastAsia"/>
                <w:color w:val="000000" w:themeColor="text1"/>
                <w:sz w:val="21"/>
                <w:szCs w:val="21"/>
              </w:rPr>
              <w:t xml:space="preserve">作为新型药物靶点在胃癌发生、转移中的作用机制研究</w:t>
            </w:r>
            <w:r/>
          </w:p>
        </w:tc>
        <w:tc>
          <w:tcPr>
            <w:shd w:val="clear" w:color="auto" w:fill="auto"/>
            <w:tcBorders>
              <w:left w:val="single" w:sz="6" w:space="0" w:color="auto"/>
              <w:top w:val="single" w:sz="6" w:space="0" w:color="auto"/>
              <w:right w:val="single" w:sz="6" w:space="0" w:color="auto"/>
              <w:bottom w:val="single" w:sz="6" w:space="0" w:color="auto"/>
            </w:tcBorders>
            <w:tcW w:w="1248" w:type="dxa"/>
            <w:vAlign w:val="center"/>
            <w:textDirection w:val="lrTb"/>
            <w:noWrap w:val="false"/>
          </w:tcPr>
          <w:p>
            <w:pPr>
              <w:jc w:val="center"/>
              <w:rPr>
                <w:color w:val="000000"/>
                <w:sz w:val="21"/>
                <w:szCs w:val="21"/>
              </w:rPr>
            </w:pPr>
            <w:r>
              <w:rPr>
                <w:rFonts w:hint="eastAsia"/>
                <w:color w:val="000000" w:themeColor="text1"/>
                <w:sz w:val="21"/>
                <w:szCs w:val="21"/>
              </w:rPr>
              <w:t xml:space="preserve">cstc2021ycjh-bgzxm0094</w:t>
            </w:r>
            <w:r/>
          </w:p>
        </w:tc>
        <w:tc>
          <w:tcPr>
            <w:shd w:val="clear" w:color="auto" w:fill="auto"/>
            <w:tcBorders>
              <w:left w:val="single" w:sz="6" w:space="0" w:color="auto"/>
              <w:top w:val="single" w:sz="6" w:space="0" w:color="auto"/>
              <w:right w:val="single" w:sz="6" w:space="0" w:color="auto"/>
              <w:bottom w:val="single" w:sz="6" w:space="0" w:color="auto"/>
            </w:tcBorders>
            <w:tcW w:w="990" w:type="dxa"/>
            <w:vAlign w:val="center"/>
            <w:textDirection w:val="lrTb"/>
            <w:noWrap w:val="false"/>
          </w:tcPr>
          <w:p>
            <w:pPr>
              <w:jc w:val="center"/>
              <w:rPr>
                <w:color w:val="000000"/>
                <w:sz w:val="21"/>
                <w:szCs w:val="21"/>
              </w:rPr>
            </w:pPr>
            <w:r>
              <w:rPr>
                <w:rFonts w:hint="eastAsia"/>
                <w:color w:val="000000" w:themeColor="text1"/>
                <w:sz w:val="21"/>
                <w:szCs w:val="21"/>
              </w:rPr>
              <w:t xml:space="preserve">肖斌</w:t>
            </w:r>
            <w:r/>
          </w:p>
        </w:tc>
        <w:tc>
          <w:tcPr>
            <w:shd w:val="clear" w:color="auto" w:fill="auto"/>
            <w:tcBorders>
              <w:left w:val="single" w:sz="6" w:space="0" w:color="auto"/>
              <w:top w:val="single" w:sz="6" w:space="0" w:color="auto"/>
              <w:right w:val="single" w:sz="6" w:space="0" w:color="auto"/>
              <w:bottom w:val="single" w:sz="6" w:space="0" w:color="auto"/>
            </w:tcBorders>
            <w:tcW w:w="1120" w:type="dxa"/>
            <w:vAlign w:val="center"/>
            <w:textDirection w:val="lrTb"/>
            <w:noWrap w:val="false"/>
          </w:tcPr>
          <w:p>
            <w:pPr>
              <w:jc w:val="center"/>
              <w:rPr>
                <w:rFonts w:ascii="仿宋" w:hAnsi="仿宋" w:eastAsia="仿宋"/>
                <w:color w:val="000000"/>
                <w:sz w:val="21"/>
                <w:szCs w:val="21"/>
              </w:rPr>
            </w:pPr>
            <w:r>
              <w:rPr>
                <w:rFonts w:ascii="仿宋" w:hAnsi="仿宋" w:eastAsia="仿宋"/>
                <w:color w:val="000000"/>
                <w:sz w:val="21"/>
                <w:szCs w:val="21"/>
              </w:rPr>
            </w:r>
            <w:r/>
          </w:p>
        </w:tc>
        <w:tc>
          <w:tcPr>
            <w:shd w:val="clear" w:color="auto" w:fill="auto"/>
            <w:tcBorders>
              <w:left w:val="single" w:sz="6" w:space="0" w:color="auto"/>
              <w:top w:val="single" w:sz="6" w:space="0" w:color="auto"/>
              <w:right w:val="single" w:sz="6" w:space="0" w:color="auto"/>
              <w:bottom w:val="single" w:sz="6" w:space="0" w:color="auto"/>
            </w:tcBorders>
            <w:tcW w:w="1015" w:type="dxa"/>
            <w:vAlign w:val="center"/>
            <w:textDirection w:val="lrTb"/>
            <w:noWrap w:val="false"/>
          </w:tcPr>
          <w:p>
            <w:pPr>
              <w:jc w:val="center"/>
              <w:rPr>
                <w:color w:val="000000"/>
                <w:sz w:val="18"/>
                <w:szCs w:val="18"/>
              </w:rPr>
            </w:pPr>
            <w:r>
              <w:rPr>
                <w:color w:val="000000" w:themeColor="text1"/>
                <w:sz w:val="18"/>
                <w:szCs w:val="18"/>
              </w:rPr>
              <w:t xml:space="preserve">20</w:t>
            </w:r>
            <w:r>
              <w:rPr>
                <w:rFonts w:hint="eastAsia"/>
                <w:color w:val="000000" w:themeColor="text1"/>
                <w:sz w:val="18"/>
                <w:szCs w:val="18"/>
              </w:rPr>
              <w:t xml:space="preserve">21</w:t>
            </w:r>
            <w:r>
              <w:rPr>
                <w:color w:val="000000" w:themeColor="text1"/>
                <w:sz w:val="18"/>
                <w:szCs w:val="18"/>
              </w:rPr>
              <w:t xml:space="preserve">0</w:t>
            </w:r>
            <w:r>
              <w:rPr>
                <w:rFonts w:hint="eastAsia"/>
                <w:color w:val="000000" w:themeColor="text1"/>
                <w:sz w:val="18"/>
                <w:szCs w:val="18"/>
              </w:rPr>
              <w:t xml:space="preserve">6</w:t>
            </w:r>
            <w:r>
              <w:rPr>
                <w:color w:val="000000" w:themeColor="text1"/>
                <w:sz w:val="18"/>
                <w:szCs w:val="18"/>
              </w:rPr>
              <w:t xml:space="preserve">-</w:t>
            </w:r>
            <w:r/>
          </w:p>
          <w:p>
            <w:pPr>
              <w:jc w:val="center"/>
              <w:rPr>
                <w:color w:val="000000"/>
                <w:sz w:val="18"/>
                <w:szCs w:val="18"/>
              </w:rPr>
            </w:pPr>
            <w:r>
              <w:rPr>
                <w:color w:val="000000" w:themeColor="text1"/>
                <w:sz w:val="18"/>
                <w:szCs w:val="18"/>
              </w:rPr>
              <w:t xml:space="preserve">202</w:t>
            </w:r>
            <w:r>
              <w:rPr>
                <w:rFonts w:hint="eastAsia"/>
                <w:color w:val="000000" w:themeColor="text1"/>
                <w:sz w:val="18"/>
                <w:szCs w:val="18"/>
              </w:rPr>
              <w:t xml:space="preserve">405</w:t>
            </w:r>
            <w:r/>
          </w:p>
        </w:tc>
        <w:tc>
          <w:tcPr>
            <w:shd w:val="clear" w:color="auto" w:fill="auto"/>
            <w:tcBorders>
              <w:left w:val="single" w:sz="6" w:space="0" w:color="auto"/>
              <w:top w:val="single" w:sz="6" w:space="0" w:color="auto"/>
              <w:right w:val="single" w:sz="6" w:space="0" w:color="auto"/>
              <w:bottom w:val="single" w:sz="6" w:space="0" w:color="auto"/>
            </w:tcBorders>
            <w:tcW w:w="1134" w:type="dxa"/>
            <w:vAlign w:val="center"/>
            <w:textDirection w:val="lrTb"/>
            <w:noWrap w:val="false"/>
          </w:tcPr>
          <w:p>
            <w:pPr>
              <w:jc w:val="center"/>
              <w:rPr>
                <w:color w:val="000000"/>
                <w:sz w:val="18"/>
                <w:szCs w:val="18"/>
              </w:rPr>
            </w:pPr>
            <w:r>
              <w:rPr>
                <w:rFonts w:hint="eastAsia"/>
                <w:color w:val="000000" w:themeColor="text1"/>
                <w:sz w:val="18"/>
                <w:szCs w:val="18"/>
              </w:rPr>
              <w:t xml:space="preserve">40</w:t>
            </w:r>
            <w:r/>
          </w:p>
        </w:tc>
      </w:tr>
    </w:tbl>
    <w:p>
      <w:pPr>
        <w:spacing w:before="163"/>
        <w:rPr>
          <w:rFonts w:ascii="黑体" w:hAnsi="黑体" w:cs="宋体" w:eastAsia="黑体"/>
          <w:color w:val="000000"/>
          <w:sz w:val="28"/>
          <w:szCs w:val="28"/>
        </w:rPr>
      </w:pPr>
      <w:r/>
      <w:bookmarkStart w:id="110" w:name="承担科研任务及经费"/>
      <w:r/>
      <w:bookmarkEnd w:id="110"/>
      <w:r>
        <w:rPr>
          <w:rFonts w:ascii="楷体" w:hAnsi="楷体" w:eastAsia="楷体" w:hint="eastAsia"/>
          <w:bCs/>
          <w:color w:val="000000" w:themeColor="text1"/>
        </w:rPr>
        <w:t xml:space="preserve">注：</w:t>
      </w:r>
      <w:r>
        <w:rPr>
          <w:rFonts w:ascii="楷体" w:hAnsi="楷体" w:eastAsia="楷体" w:hint="eastAsia"/>
          <w:color w:val="000000" w:themeColor="text1"/>
        </w:rPr>
        <w:t xml:space="preserve">此表填写省部级以上科研项目（课题）。</w:t>
      </w:r>
      <w:r/>
    </w:p>
    <w:p>
      <w:pPr>
        <w:ind w:firstLine="560"/>
        <w:spacing w:after="163" w:before="163"/>
        <w:rPr>
          <w:rFonts w:ascii="黑体" w:hAnsi="黑体" w:cs="仿宋_GB2312" w:eastAsia="黑体"/>
          <w:bCs/>
          <w:color w:val="000000"/>
          <w:sz w:val="28"/>
          <w:szCs w:val="28"/>
        </w:rPr>
      </w:pPr>
      <w:r>
        <w:rPr>
          <w:rFonts w:ascii="黑体" w:hAnsi="黑体" w:cs="宋体" w:eastAsia="黑体" w:hint="eastAsia"/>
          <w:color w:val="000000" w:themeColor="text1"/>
          <w:sz w:val="28"/>
          <w:szCs w:val="28"/>
        </w:rPr>
        <w:t xml:space="preserve">（三）</w:t>
      </w:r>
      <w:r>
        <w:rPr>
          <w:rFonts w:ascii="黑体" w:hAnsi="黑体" w:cs="仿宋_GB2312" w:eastAsia="黑体" w:hint="eastAsia"/>
          <w:bCs/>
          <w:color w:val="000000" w:themeColor="text1"/>
          <w:sz w:val="28"/>
          <w:szCs w:val="28"/>
        </w:rPr>
        <w:t xml:space="preserve">研究成果</w:t>
      </w:r>
      <w:r/>
    </w:p>
    <w:p>
      <w:pPr>
        <w:ind w:firstLine="480"/>
        <w:spacing w:after="163" w:before="163"/>
        <w:rPr>
          <w:rFonts w:ascii="黑体" w:hAnsi="黑体" w:cs="仿宋_GB2312" w:eastAsia="黑体"/>
          <w:color w:val="000000"/>
        </w:rPr>
      </w:pPr>
      <w:r/>
      <w:bookmarkStart w:id="111" w:name="专利情况"/>
      <w:r/>
      <w:bookmarkEnd w:id="111"/>
      <w:r>
        <w:rPr>
          <w:rFonts w:ascii="黑体" w:hAnsi="黑体" w:cs="仿宋_GB2312" w:eastAsia="黑体" w:hint="eastAsia"/>
          <w:color w:val="000000" w:themeColor="text1"/>
        </w:rPr>
        <w:t xml:space="preserve">1.专利情况</w:t>
      </w:r>
      <w:r/>
    </w:p>
    <w:tbl>
      <w:tblPr>
        <w:tblW w:w="8927" w:type="dxa"/>
        <w:tblLayout w:type="fixed"/>
        <w:tblCellMar>
          <w:left w:w="0" w:type="dxa"/>
          <w:right w:w="0" w:type="dxa"/>
        </w:tblCellMar>
        <w:tblLook w:val="04A0" w:firstRow="1" w:lastRow="0" w:firstColumn="1" w:lastColumn="0" w:noHBand="0" w:noVBand="1"/>
      </w:tblPr>
      <w:tblGrid>
        <w:gridCol w:w="499"/>
        <w:gridCol w:w="2326"/>
        <w:gridCol w:w="1772"/>
        <w:gridCol w:w="933"/>
        <w:gridCol w:w="1347"/>
        <w:gridCol w:w="970"/>
        <w:gridCol w:w="1080"/>
      </w:tblGrid>
      <w:tr>
        <w:trPr>
          <w:trHeight w:val="886"/>
        </w:trPr>
        <w:tc>
          <w:tcPr>
            <w:tcBorders>
              <w:left w:val="single" w:sz="4" w:space="0" w:color="auto"/>
              <w:top w:val="single" w:sz="4" w:space="0" w:color="auto"/>
              <w:right w:val="single" w:sz="4" w:space="0" w:color="auto"/>
              <w:bottom w:val="single" w:sz="4" w:space="0" w:color="auto"/>
            </w:tcBorders>
            <w:tcW w:w="499" w:type="dxa"/>
            <w:vAlign w:val="center"/>
            <w:textDirection w:val="lrTb"/>
            <w:noWrap w:val="false"/>
          </w:tcPr>
          <w:p>
            <w:pPr>
              <w:jc w:val="center"/>
              <w:rPr>
                <w:b/>
                <w:bCs/>
                <w:color w:val="000000"/>
                <w:sz w:val="22"/>
                <w:szCs w:val="22"/>
              </w:rPr>
            </w:pPr>
            <w:r>
              <w:rPr>
                <w:rFonts w:hint="eastAsia"/>
                <w:b/>
                <w:bCs/>
                <w:color w:val="000000" w:themeColor="text1"/>
                <w:sz w:val="22"/>
                <w:szCs w:val="22"/>
              </w:rPr>
              <w:t xml:space="preserve">序号</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2326" w:type="dxa"/>
            <w:vAlign w:val="center"/>
            <w:textDirection w:val="lrTb"/>
            <w:noWrap/>
          </w:tcPr>
          <w:p>
            <w:pPr>
              <w:jc w:val="center"/>
              <w:widowControl/>
              <w:rPr>
                <w:b/>
                <w:bCs/>
                <w:color w:val="000000"/>
                <w:sz w:val="22"/>
                <w:szCs w:val="22"/>
              </w:rPr>
            </w:pPr>
            <w:r>
              <w:rPr>
                <w:rFonts w:hint="eastAsia"/>
                <w:b/>
                <w:bCs/>
                <w:color w:val="000000" w:themeColor="text1"/>
                <w:sz w:val="22"/>
                <w:szCs w:val="22"/>
              </w:rPr>
              <w:t xml:space="preserve">专利情况</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rPr>
                <w:b/>
                <w:bCs/>
                <w:color w:val="000000"/>
                <w:sz w:val="22"/>
                <w:szCs w:val="22"/>
              </w:rPr>
            </w:pPr>
            <w:r>
              <w:rPr>
                <w:rFonts w:hint="eastAsia"/>
                <w:b/>
                <w:bCs/>
                <w:color w:val="000000" w:themeColor="text1"/>
                <w:sz w:val="22"/>
                <w:szCs w:val="22"/>
              </w:rPr>
              <w:t xml:space="preserve">专利授权号</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b/>
                <w:bCs/>
                <w:color w:val="000000"/>
                <w:sz w:val="22"/>
                <w:szCs w:val="22"/>
              </w:rPr>
            </w:pPr>
            <w:r>
              <w:rPr>
                <w:rFonts w:hint="eastAsia"/>
                <w:b/>
                <w:bCs/>
                <w:color w:val="000000" w:themeColor="text1"/>
                <w:sz w:val="22"/>
                <w:szCs w:val="22"/>
              </w:rPr>
              <w:t xml:space="preserve">获准国别</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347" w:type="dxa"/>
            <w:vAlign w:val="center"/>
            <w:textDirection w:val="lrTb"/>
            <w:noWrap/>
          </w:tcPr>
          <w:p>
            <w:pPr>
              <w:jc w:val="center"/>
              <w:rPr>
                <w:b/>
                <w:bCs/>
                <w:color w:val="000000"/>
                <w:sz w:val="22"/>
                <w:szCs w:val="22"/>
              </w:rPr>
            </w:pPr>
            <w:r>
              <w:rPr>
                <w:rFonts w:hint="eastAsia"/>
                <w:b/>
                <w:bCs/>
                <w:color w:val="000000" w:themeColor="text1"/>
                <w:sz w:val="22"/>
                <w:szCs w:val="22"/>
              </w:rPr>
              <w:t xml:space="preserve">完成人</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b/>
                <w:bCs/>
                <w:color w:val="000000"/>
                <w:sz w:val="22"/>
                <w:szCs w:val="22"/>
              </w:rPr>
            </w:pPr>
            <w:r>
              <w:rPr>
                <w:rFonts w:hint="eastAsia"/>
                <w:b/>
                <w:bCs/>
                <w:color w:val="000000" w:themeColor="text1"/>
                <w:sz w:val="22"/>
                <w:szCs w:val="22"/>
              </w:rPr>
              <w:t xml:space="preserve">类型</w:t>
            </w:r>
            <w:r/>
          </w:p>
        </w:tc>
        <w:tc>
          <w:tcPr>
            <w:shd w:val="clear" w:color="auto" w:fill="auto"/>
            <w:tcBorders>
              <w:left w:val="none" w:color="000000" w:sz="4" w:space="0"/>
              <w:top w:val="single" w:sz="4" w:space="0" w:color="auto"/>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b/>
                <w:bCs/>
                <w:color w:val="000000"/>
                <w:sz w:val="22"/>
                <w:szCs w:val="22"/>
              </w:rPr>
            </w:pPr>
            <w:r>
              <w:rPr>
                <w:rFonts w:hint="eastAsia"/>
                <w:b/>
                <w:bCs/>
                <w:color w:val="000000" w:themeColor="text1"/>
                <w:sz w:val="22"/>
                <w:szCs w:val="22"/>
              </w:rPr>
              <w:t xml:space="preserve">类别</w:t>
            </w:r>
            <w:r/>
          </w:p>
        </w:tc>
      </w:tr>
      <w:tr>
        <w:trPr>
          <w:trHeight w:val="735"/>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一种来那替尼杂质</w:t>
            </w:r>
            <w:r>
              <w:rPr>
                <w:rFonts w:ascii="Times New Roman" w:hAnsi="Times New Roman" w:cs="Times New Roman" w:eastAsia="楷体"/>
                <w:b/>
                <w:bCs/>
                <w:color w:val="000000" w:themeColor="text1"/>
                <w:sz w:val="20"/>
                <w:szCs w:val="20"/>
                <w:lang w:bidi="ar"/>
              </w:rPr>
              <w:t xml:space="preserve">D</w:t>
            </w:r>
            <w:r>
              <w:rPr>
                <w:rFonts w:ascii="Times New Roman" w:hAnsi="Times New Roman" w:cs="Times New Roman" w:eastAsia="楷体"/>
                <w:b/>
                <w:bCs/>
                <w:color w:val="000000" w:themeColor="text1"/>
                <w:sz w:val="20"/>
                <w:szCs w:val="20"/>
                <w:lang w:bidi="ar"/>
              </w:rPr>
              <w:t xml:space="preserve">的制备方法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CN111943933B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李雁武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袁建勇</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64"/>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2</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一种来那替尼杂质</w:t>
            </w:r>
            <w:r>
              <w:rPr>
                <w:rFonts w:ascii="Times New Roman" w:hAnsi="Times New Roman" w:cs="Times New Roman" w:eastAsia="楷体"/>
                <w:b/>
                <w:bCs/>
                <w:color w:val="000000" w:themeColor="text1"/>
                <w:sz w:val="20"/>
                <w:szCs w:val="20"/>
                <w:lang w:bidi="ar"/>
              </w:rPr>
              <w:t xml:space="preserve">G</w:t>
            </w:r>
            <w:r>
              <w:rPr>
                <w:rFonts w:ascii="Times New Roman" w:hAnsi="Times New Roman" w:cs="Times New Roman" w:eastAsia="楷体"/>
                <w:b/>
                <w:bCs/>
                <w:color w:val="000000" w:themeColor="text1"/>
                <w:sz w:val="20"/>
                <w:szCs w:val="20"/>
                <w:lang w:bidi="ar"/>
              </w:rPr>
              <w:t xml:space="preserve">的制备方法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CN111995618B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李雁武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袁建勇</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王敬</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2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3</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一种白桦脂酸衍生物及其制备方法和应用</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ZL202010136699.X</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彭咏波</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张水寒</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郭新红</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万丹</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曹科</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李雄</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曾宏亮</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周融融</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2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4</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一种透明质酸和聚多巴胺修饰的载药介孔二氧化钛纳米粒</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ZL201910519854.3</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彭林娜</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5</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羟基磷灰石包裹的载药及新吲哚菁绿液态氟碳纳米系统</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ZL201910515451.1</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秦士玮</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6</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一种用于粮食或饲料中</w:t>
            </w:r>
            <w:r>
              <w:rPr>
                <w:rFonts w:ascii="Times New Roman" w:hAnsi="Times New Roman" w:cs="Times New Roman" w:eastAsia="楷体"/>
                <w:b/>
                <w:bCs/>
                <w:color w:val="000000" w:themeColor="text1"/>
                <w:sz w:val="20"/>
                <w:szCs w:val="20"/>
                <w:lang w:bidi="ar"/>
              </w:rPr>
              <w:t xml:space="preserve">T-2</w:t>
            </w:r>
            <w:r>
              <w:rPr>
                <w:rFonts w:ascii="Times New Roman" w:hAnsi="Times New Roman" w:cs="Times New Roman" w:eastAsia="楷体"/>
                <w:b/>
                <w:bCs/>
                <w:color w:val="000000" w:themeColor="text1"/>
                <w:sz w:val="20"/>
                <w:szCs w:val="20"/>
                <w:lang w:bidi="ar"/>
              </w:rPr>
              <w:t xml:space="preserve">毒素检测的适配体传感器制备方法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CN110108766B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何俊琳</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于超</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钟航天</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7</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一种同时测定党参药材中八种活性成分的</w:t>
            </w:r>
            <w:r>
              <w:rPr>
                <w:rFonts w:ascii="Times New Roman" w:hAnsi="Times New Roman" w:cs="Times New Roman" w:eastAsia="楷体"/>
                <w:b/>
                <w:bCs/>
                <w:color w:val="000000" w:themeColor="text1"/>
                <w:sz w:val="20"/>
                <w:szCs w:val="20"/>
                <w:lang w:bidi="ar"/>
              </w:rPr>
              <w:t xml:space="preserve">HPLC</w:t>
            </w:r>
            <w:r>
              <w:rPr>
                <w:rFonts w:ascii="Times New Roman" w:hAnsi="Times New Roman" w:cs="Times New Roman" w:eastAsia="楷体"/>
                <w:b/>
                <w:bCs/>
                <w:color w:val="000000" w:themeColor="text1"/>
                <w:sz w:val="20"/>
                <w:szCs w:val="20"/>
                <w:lang w:bidi="ar"/>
              </w:rPr>
              <w:t xml:space="preserve">方</w:t>
            </w:r>
            <w:r>
              <w:rPr>
                <w:rFonts w:ascii="Times New Roman" w:hAnsi="Times New Roman" w:cs="Times New Roman" w:eastAsia="楷体"/>
                <w:b/>
                <w:bCs/>
                <w:color w:val="000000" w:themeColor="text1"/>
                <w:sz w:val="20"/>
                <w:szCs w:val="20"/>
                <w:lang w:bidi="ar"/>
              </w:rPr>
              <w:t xml:space="preserve">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CN109470792B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赵华</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何金莲</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刘珊</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郑雯蓝</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蒋晓丹</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2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8</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透明质酸修饰聚吡咯包裹载药相变材料光热治疗剂及其制备方法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ZL201810738648.7</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赵庭</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9</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一种叶酸靶向可视化光热</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化疗治疗剂及其制备方法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ZL201810737434.8</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杨强</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杨华蓉</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王红力</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10</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一种透明质酸靶向聚多巴胺包覆相变型液态氟碳纳米超声造影剂</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ZL201810737446.0</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牟崇艳</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11</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一种硝普钠缀合的载药普鲁士蓝类似物纳米光热治疗剂及其制备方法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 201810738650.4</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冯滔</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12</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一种多功能聚吡咯包覆载药介孔二氧化钛纳米粒及其制备方法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 201810739363. 5</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何跃</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13</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一种新型白蛋白</w:t>
            </w:r>
            <w:r>
              <w:rPr>
                <w:rFonts w:ascii="Times New Roman" w:hAnsi="Times New Roman" w:cs="Times New Roman" w:eastAsia="楷体"/>
                <w:b/>
                <w:bCs/>
                <w:color w:val="000000" w:themeColor="text1"/>
                <w:sz w:val="20"/>
                <w:szCs w:val="20"/>
                <w:lang w:bidi="ar"/>
              </w:rPr>
              <w:t xml:space="preserve">-siRNA</w:t>
            </w:r>
            <w:r>
              <w:rPr>
                <w:rFonts w:ascii="Times New Roman" w:hAnsi="Times New Roman" w:cs="Times New Roman" w:eastAsia="楷体"/>
                <w:b/>
                <w:bCs/>
                <w:color w:val="000000" w:themeColor="text1"/>
                <w:sz w:val="20"/>
                <w:szCs w:val="20"/>
                <w:lang w:bidi="ar"/>
              </w:rPr>
              <w:t xml:space="preserve">复合纳米颗粒及其制备方法和应用</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ZL201810166915.8</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谭蔚泓</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彭咏波</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刘腾</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李雄</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14</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一种包裹药理活性物质的白蛋白纳米颗粒及其制备方法和应用</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ZL201810168932.5</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谭蔚泓</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彭咏波</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刘腾</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李雄</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外</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35"/>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15</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一锅煮制备</w:t>
            </w:r>
            <w:r>
              <w:rPr>
                <w:rFonts w:ascii="Times New Roman" w:hAnsi="Times New Roman" w:cs="Times New Roman" w:eastAsia="楷体"/>
                <w:b/>
                <w:bCs/>
                <w:color w:val="000000" w:themeColor="text1"/>
                <w:sz w:val="20"/>
                <w:szCs w:val="20"/>
                <w:lang w:bidi="ar"/>
              </w:rPr>
              <w:t xml:space="preserve">2,3-</w:t>
            </w:r>
            <w:r>
              <w:rPr>
                <w:rFonts w:ascii="Times New Roman" w:hAnsi="Times New Roman" w:cs="Times New Roman" w:eastAsia="楷体"/>
                <w:b/>
                <w:bCs/>
                <w:color w:val="000000" w:themeColor="text1"/>
                <w:sz w:val="20"/>
                <w:szCs w:val="20"/>
                <w:lang w:bidi="ar"/>
              </w:rPr>
              <w:t xml:space="preserve">二氯喹喔啉衍生物的方法</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ZL201810040899.8</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甘宗捷</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余瑜</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张培明</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李耀伟</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720"/>
        </w:trPr>
        <w:tc>
          <w:tcPr>
            <w:tcBorders>
              <w:left w:val="single" w:sz="4" w:space="0" w:color="auto"/>
              <w:top w:val="none" w:color="000000" w:sz="4" w:space="0"/>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16</w:t>
            </w:r>
            <w:r/>
          </w:p>
        </w:tc>
        <w:tc>
          <w:tcPr>
            <w:shd w:val="clear" w:color="auto" w:fill="auto"/>
            <w:tcBorders>
              <w:left w:val="single" w:sz="4" w:space="0" w:color="auto"/>
              <w:top w:val="none" w:color="000000" w:sz="4" w:space="0"/>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一种壳聚糖纳米微泡及其制备方法与用途</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CN107537044B</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余超群</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杨增涛</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none" w:color="000000" w:sz="4" w:space="0"/>
              <w:top w:val="none" w:color="000000" w:sz="4" w:space="0"/>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single" w:sz="4" w:space="0" w:color="auto"/>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17</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一种透明质酸修饰的硅包裹载药磷脂液态氟碳纳米球超声造影剂及其制备方法</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ZL201710567524.2</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张良珂</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杨强</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single" w:sz="4" w:space="0" w:color="auto"/>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18</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2326"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抗流感病毒化合物及其制备方法</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CN109020825 B</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中国</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left"/>
              <w:widowControl/>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lang w:bidi="ar"/>
              </w:rPr>
              <w:t xml:space="preserve">李雁武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王敬</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学</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胡叶敏</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发明专利</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080"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合作完成</w:t>
            </w:r>
            <w:r>
              <w:rPr>
                <w:rFonts w:ascii="Times New Roman" w:hAnsi="Times New Roman" w:cs="Times New Roman" w:eastAsia="楷体"/>
                <w:b/>
                <w:bCs/>
                <w:color w:val="000000" w:themeColor="text1"/>
                <w:sz w:val="20"/>
                <w:szCs w:val="20"/>
              </w:rPr>
              <w:t xml:space="preserve">-</w:t>
            </w:r>
            <w:r>
              <w:rPr>
                <w:rFonts w:ascii="Times New Roman" w:hAnsi="Times New Roman" w:cs="Times New Roman" w:eastAsia="楷体"/>
                <w:b/>
                <w:bCs/>
                <w:color w:val="000000" w:themeColor="text1"/>
                <w:sz w:val="20"/>
                <w:szCs w:val="20"/>
              </w:rPr>
              <w:t xml:space="preserve">第一人</w:t>
            </w:r>
            <w:r/>
          </w:p>
        </w:tc>
      </w:tr>
      <w:tr>
        <w:trPr>
          <w:trHeight w:val="480"/>
        </w:trPr>
        <w:tc>
          <w:tcPr>
            <w:tcBorders>
              <w:left w:val="single" w:sz="4" w:space="0" w:color="auto"/>
              <w:top w:val="single" w:sz="4" w:space="0" w:color="auto"/>
              <w:right w:val="single" w:sz="4" w:space="0" w:color="auto"/>
              <w:bottom w:val="single" w:sz="4" w:space="0" w:color="auto"/>
            </w:tcBorders>
            <w:tcW w:w="499" w:type="dxa"/>
            <w:vAlign w:val="center"/>
            <w:textDirection w:val="lrTb"/>
            <w:noWrap w:val="false"/>
          </w:tcPr>
          <w:p>
            <w:pPr>
              <w:jc w:val="center"/>
              <w:rPr>
                <w:rFonts w:ascii="Times New Roman" w:hAnsi="Times New Roman" w:cs="Times New Roman" w:eastAsia="楷体"/>
                <w:b/>
                <w:bCs/>
                <w:color w:val="000000"/>
                <w:sz w:val="20"/>
                <w:szCs w:val="20"/>
              </w:rPr>
            </w:pPr>
            <w:r>
              <w:rPr>
                <w:rFonts w:ascii="Times New Roman" w:hAnsi="Times New Roman" w:cs="Times New Roman" w:eastAsia="楷体"/>
                <w:b/>
                <w:bCs/>
                <w:color w:val="000000" w:themeColor="text1"/>
                <w:sz w:val="20"/>
                <w:szCs w:val="20"/>
              </w:rPr>
              <w:t xml:space="preserve">19</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2326" w:type="dxa"/>
            <w:textDirection w:val="lrTb"/>
            <w:noWrap w:val="false"/>
          </w:tcPr>
          <w:p>
            <w:pPr>
              <w:jc w:val="left"/>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基于二维的金属有机框架锌卟啉配合物纳米材料在电致化学发光检测</w:t>
            </w:r>
            <w:r>
              <w:rPr>
                <w:rFonts w:ascii="Times New Roman" w:hAnsi="Times New Roman" w:cs="Times New Roman" w:eastAsia="楷体"/>
                <w:b/>
                <w:bCs/>
                <w:color w:val="000000" w:themeColor="text1"/>
                <w:sz w:val="20"/>
                <w:szCs w:val="20"/>
                <w:lang w:bidi="ar"/>
              </w:rPr>
              <w:t xml:space="preserve">miRNA</w:t>
            </w:r>
            <w:r>
              <w:rPr>
                <w:rFonts w:ascii="Times New Roman" w:hAnsi="Times New Roman" w:cs="Times New Roman" w:eastAsia="楷体"/>
                <w:b/>
                <w:bCs/>
                <w:color w:val="000000" w:themeColor="text1"/>
                <w:sz w:val="20"/>
                <w:szCs w:val="20"/>
                <w:lang w:bidi="ar"/>
              </w:rPr>
              <w:t xml:space="preserve">中的应用</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772" w:type="dxa"/>
            <w:vAlign w:val="center"/>
            <w:textDirection w:val="lrTb"/>
            <w:noWrap w:val="false"/>
          </w:tcPr>
          <w:p>
            <w:pPr>
              <w:jc w:val="center"/>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ZL202210065720.0</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33" w:type="dxa"/>
            <w:vAlign w:val="center"/>
            <w:textDirection w:val="lrTb"/>
            <w:noWrap w:val="false"/>
          </w:tcPr>
          <w:p>
            <w:pPr>
              <w:jc w:val="center"/>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中国</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347" w:type="dxa"/>
            <w:vAlign w:val="center"/>
            <w:textDirection w:val="lrTb"/>
            <w:noWrap w:val="false"/>
          </w:tcPr>
          <w:p>
            <w:pPr>
              <w:jc w:val="center"/>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朱姝</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970" w:type="dxa"/>
            <w:vAlign w:val="center"/>
            <w:textDirection w:val="lrTb"/>
            <w:noWrap w:val="false"/>
          </w:tcPr>
          <w:p>
            <w:pPr>
              <w:jc w:val="center"/>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发明专利</w:t>
            </w:r>
            <w:r/>
          </w:p>
        </w:tc>
        <w:tc>
          <w:tcPr>
            <w:shd w:val="clear" w:color="auto" w:fill="auto"/>
            <w:tcBorders>
              <w:left w:val="single" w:sz="4" w:space="0" w:color="auto"/>
              <w:top w:val="single" w:sz="4" w:space="0" w:color="auto"/>
              <w:right w:val="single" w:sz="4" w:space="0" w:color="auto"/>
              <w:bottom w:val="single" w:sz="4" w:space="0" w:color="auto"/>
            </w:tcBorders>
            <w:tcMar>
              <w:left w:w="15" w:type="dxa"/>
              <w:top w:w="15" w:type="dxa"/>
              <w:right w:w="15" w:type="dxa"/>
              <w:bottom w:w="0" w:type="dxa"/>
            </w:tcMar>
            <w:tcW w:w="1080" w:type="dxa"/>
            <w:textDirection w:val="lrTb"/>
            <w:noWrap w:val="false"/>
          </w:tcPr>
          <w:p>
            <w:pPr>
              <w:jc w:val="left"/>
              <w:widowControl/>
              <w:rPr>
                <w:rFonts w:ascii="Times New Roman" w:hAnsi="Times New Roman" w:cs="Times New Roman" w:eastAsia="楷体"/>
                <w:b/>
                <w:bCs/>
                <w:color w:val="000000"/>
                <w:sz w:val="20"/>
                <w:szCs w:val="20"/>
                <w:lang w:bidi="ar"/>
              </w:rPr>
            </w:pPr>
            <w:r>
              <w:rPr>
                <w:rFonts w:ascii="Times New Roman" w:hAnsi="Times New Roman" w:cs="Times New Roman" w:eastAsia="楷体"/>
                <w:b/>
                <w:bCs/>
                <w:color w:val="000000" w:themeColor="text1"/>
                <w:sz w:val="20"/>
                <w:szCs w:val="20"/>
                <w:lang w:bidi="ar"/>
              </w:rPr>
              <w:t xml:space="preserve">合作完成</w:t>
            </w:r>
            <w:r>
              <w:rPr>
                <w:rFonts w:ascii="Times New Roman" w:hAnsi="Times New Roman" w:cs="Times New Roman" w:eastAsia="楷体"/>
                <w:b/>
                <w:bCs/>
                <w:color w:val="000000" w:themeColor="text1"/>
                <w:sz w:val="20"/>
                <w:szCs w:val="20"/>
                <w:lang w:bidi="ar"/>
              </w:rPr>
              <w:t xml:space="preserve">-</w:t>
            </w:r>
            <w:r>
              <w:rPr>
                <w:rFonts w:ascii="Times New Roman" w:hAnsi="Times New Roman" w:cs="Times New Roman" w:eastAsia="楷体"/>
                <w:b/>
                <w:bCs/>
                <w:color w:val="000000" w:themeColor="text1"/>
                <w:sz w:val="20"/>
                <w:szCs w:val="20"/>
                <w:lang w:bidi="ar"/>
              </w:rPr>
              <w:t xml:space="preserve">第一人</w:t>
            </w:r>
            <w:r/>
          </w:p>
        </w:tc>
      </w:tr>
    </w:tbl>
    <w:p>
      <w:pPr>
        <w:ind w:firstLine="480"/>
        <w:jc w:val="left"/>
        <w:spacing w:before="163"/>
        <w:rPr>
          <w:rFonts w:ascii="楷体" w:hAnsi="楷体" w:cs="宋体" w:eastAsia="楷体"/>
          <w:color w:val="000000"/>
        </w:rPr>
      </w:pPr>
      <w:r>
        <w:rPr>
          <w:rFonts w:ascii="楷体" w:hAnsi="楷体" w:cs="仿宋_GB2312" w:eastAsia="楷体" w:hint="eastAsia"/>
          <w:color w:val="000000" w:themeColor="text1"/>
        </w:rPr>
        <w:t xml:space="preserve">注：（1）国内外同内容的专利不得重复统计。（2）</w:t>
      </w:r>
      <w:r>
        <w:rPr>
          <w:rFonts w:ascii="楷体" w:hAnsi="楷体" w:cs="仿宋_GB2312" w:eastAsia="楷体" w:hint="eastAsia"/>
          <w:bCs/>
          <w:color w:val="000000" w:themeColor="text1"/>
        </w:rPr>
        <w:t xml:space="preserve">专利：</w:t>
      </w:r>
      <w:r>
        <w:rPr>
          <w:rFonts w:ascii="楷体" w:hAnsi="楷体" w:cs="仿宋_GB2312" w:eastAsia="楷体" w:hint="eastAsia"/>
          <w:color w:val="000000" w:themeColor="text1"/>
        </w:rPr>
        <w:t xml:space="preserve">批准的发明专利，以证书为准。（3）</w:t>
      </w:r>
      <w:r>
        <w:rPr>
          <w:rFonts w:ascii="楷体" w:hAnsi="楷体" w:cs="宋体" w:eastAsia="楷体" w:hint="eastAsia"/>
          <w:bCs/>
          <w:color w:val="000000" w:themeColor="text1"/>
        </w:rPr>
        <w:t xml:space="preserve">完成人：</w:t>
      </w:r>
      <w:r>
        <w:rPr>
          <w:rFonts w:ascii="楷体" w:hAnsi="楷体" w:cs="宋体" w:eastAsia="楷体" w:hint="eastAsia"/>
          <w:color w:val="000000" w:themeColor="text1"/>
        </w:rPr>
        <w:t xml:space="preserve">所有完成人，</w:t>
      </w:r>
      <w:r>
        <w:rPr>
          <w:rFonts w:ascii="楷体" w:hAnsi="楷体" w:cs="仿宋_GB2312" w:eastAsia="楷体" w:hint="eastAsia"/>
          <w:color w:val="000000" w:themeColor="text1"/>
        </w:rPr>
        <w:t xml:space="preserve">排序以证书为准。（4）</w:t>
      </w:r>
      <w:r>
        <w:rPr>
          <w:rFonts w:ascii="楷体" w:hAnsi="楷体" w:cs="宋体" w:eastAsia="楷体" w:hint="eastAsia"/>
          <w:bCs/>
          <w:color w:val="000000" w:themeColor="text1"/>
        </w:rPr>
        <w:t xml:space="preserve">类型：</w:t>
      </w:r>
      <w:r>
        <w:rPr>
          <w:rFonts w:ascii="楷体" w:hAnsi="楷体" w:cs="宋体" w:eastAsia="楷体" w:hint="eastAsia"/>
          <w:color w:val="000000" w:themeColor="text1"/>
        </w:rPr>
        <w:t xml:space="preserve">其他等同</w:t>
      </w:r>
      <w:r>
        <w:rPr>
          <w:rFonts w:ascii="楷体" w:hAnsi="楷体" w:cs="宋体" w:eastAsia="楷体" w:hint="eastAsia"/>
          <w:color w:val="000000" w:themeColor="text1"/>
        </w:rPr>
        <w:t xml:space="preserve">于</w:t>
      </w:r>
      <w:r>
        <w:rPr>
          <w:rFonts w:ascii="楷体" w:hAnsi="楷体" w:cs="仿宋_GB2312" w:eastAsia="楷体" w:hint="eastAsia"/>
          <w:color w:val="000000" w:themeColor="text1"/>
        </w:rPr>
        <w:t xml:space="preserve">发明专利的成果，如新药、软件、标准、规范等，在类型栏中标明。（5）</w:t>
      </w:r>
      <w:r>
        <w:rPr>
          <w:rFonts w:ascii="楷体" w:hAnsi="楷体" w:cs="宋体" w:eastAsia="楷体" w:hint="eastAsia"/>
          <w:bCs/>
          <w:color w:val="000000" w:themeColor="text1"/>
        </w:rPr>
        <w:t xml:space="preserve">类别：</w:t>
      </w:r>
      <w:r>
        <w:rPr>
          <w:rFonts w:ascii="楷体" w:hAnsi="楷体" w:cs="宋体" w:eastAsia="楷体" w:hint="eastAsia"/>
          <w:color w:val="000000" w:themeColor="text1"/>
        </w:rPr>
        <w:t xml:space="preserve">分四种，独立完成、合作完成-第一人、合作完成-第二人、合作完成-其他。如果成果全部由示范中心固定人员完成的则为独立完成。如果成果由示范中心与其他单位合作完成，第一完成人是示范中心固定人员则为合作完成-第一人；第二完成人是示范中心固定人员则为合作完成-第二人，第三及以后完成人是示范中心固定人员则为合作完成-其他。（以下类同）</w:t>
      </w:r>
      <w:r/>
    </w:p>
    <w:p>
      <w:pPr>
        <w:ind w:firstLine="480"/>
        <w:spacing w:after="163" w:before="163"/>
        <w:rPr>
          <w:rFonts w:ascii="黑体" w:hAnsi="黑体" w:cs="仿宋_GB2312" w:eastAsia="黑体"/>
          <w:color w:val="000000"/>
        </w:rPr>
      </w:pPr>
      <w:r/>
      <w:bookmarkStart w:id="112" w:name="发表论文、专著情况"/>
      <w:r/>
      <w:bookmarkEnd w:id="112"/>
      <w:r/>
      <w:r/>
    </w:p>
    <w:p>
      <w:pPr>
        <w:ind w:firstLine="1440"/>
        <w:spacing w:after="163" w:before="163"/>
        <w:rPr>
          <w:rFonts w:ascii="黑体" w:hAnsi="黑体" w:cs="仿宋_GB2312" w:eastAsia="黑体"/>
          <w:color w:val="000000"/>
        </w:rPr>
      </w:pPr>
      <w:r>
        <w:rPr>
          <w:rFonts w:ascii="黑体" w:hAnsi="黑体" w:cs="仿宋_GB2312" w:eastAsia="黑体" w:hint="eastAsia"/>
          <w:color w:val="000000" w:themeColor="text1"/>
        </w:rPr>
        <w:t xml:space="preserve">2.发表论文、专著（部分）情况</w:t>
      </w:r>
      <w:r/>
    </w:p>
    <w:tbl>
      <w:tblPr>
        <w:tblStyle w:val="406"/>
        <w:tblW w:w="9560" w:type="dxa"/>
        <w:tblLayout w:type="fixed"/>
        <w:tblLook w:val="04A0" w:firstRow="1" w:lastRow="0" w:firstColumn="1" w:lastColumn="0" w:noHBand="0" w:noVBand="1"/>
      </w:tblPr>
      <w:tblGrid>
        <w:gridCol w:w="553"/>
        <w:gridCol w:w="2765"/>
        <w:gridCol w:w="1968"/>
        <w:gridCol w:w="1440"/>
        <w:gridCol w:w="1190"/>
        <w:gridCol w:w="793"/>
        <w:gridCol w:w="851"/>
      </w:tblGrid>
      <w:tr>
        <w:trPr/>
        <w:tc>
          <w:tcPr>
            <w:tcW w:w="553"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序号</w:t>
            </w:r>
            <w:r/>
          </w:p>
        </w:tc>
        <w:tc>
          <w:tcPr>
            <w:tcW w:w="2765"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论文或</w:t>
            </w:r>
            <w:r/>
          </w:p>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专著名称</w:t>
            </w:r>
            <w:r/>
          </w:p>
        </w:tc>
        <w:tc>
          <w:tcPr>
            <w:tcW w:w="1968"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作者</w:t>
            </w:r>
            <w:r/>
          </w:p>
        </w:tc>
        <w:tc>
          <w:tcPr>
            <w:tcW w:w="1440"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刊物、出版社名称</w:t>
            </w:r>
            <w:r/>
          </w:p>
        </w:tc>
        <w:tc>
          <w:tcPr>
            <w:tcW w:w="1190"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卷、期</w:t>
            </w:r>
            <w:r/>
          </w:p>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（或章节）、页</w:t>
            </w:r>
            <w:r/>
          </w:p>
        </w:tc>
        <w:tc>
          <w:tcPr>
            <w:tcW w:w="793" w:type="dxa"/>
            <w:vAlign w:val="center"/>
            <w:textDirection w:val="lrTb"/>
            <w:noWrap w:val="false"/>
          </w:tcPr>
          <w:p>
            <w:pPr>
              <w:jc w:val="center"/>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IF</w:t>
            </w:r>
            <w:r/>
          </w:p>
        </w:tc>
        <w:tc>
          <w:tcPr>
            <w:tcW w:w="851" w:type="dxa"/>
            <w:vAlign w:val="center"/>
            <w:textDirection w:val="lrTb"/>
            <w:noWrap w:val="false"/>
          </w:tcPr>
          <w:p>
            <w:pPr>
              <w:jc w:val="center"/>
              <w:tabs>
                <w:tab w:val="left" w:pos="492" w:leader="none"/>
              </w:tabs>
              <w:rPr>
                <w:rFonts w:ascii="Times New Roman" w:hAnsi="Times New Roman" w:cs="Times New Roman" w:eastAsia="楷体"/>
                <w:b/>
                <w:bCs/>
                <w:sz w:val="22"/>
                <w:szCs w:val="22"/>
              </w:rPr>
            </w:pPr>
            <w:r>
              <w:rPr>
                <w:rFonts w:ascii="Times New Roman" w:hAnsi="Times New Roman" w:cs="Times New Roman" w:eastAsia="楷体"/>
                <w:b/>
                <w:bCs/>
                <w:sz w:val="22"/>
                <w:szCs w:val="22"/>
              </w:rPr>
              <w:t xml:space="preserve">类别</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w:t>
            </w:r>
            <w:r/>
          </w:p>
        </w:tc>
        <w:tc>
          <w:tcPr>
            <w:tcW w:w="2765"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Carbon Dots Based on Endogenous Nutrients with Visible and NIR Fluorescence to Penetrate Blood-Brain Barrier</w:t>
            </w:r>
            <w:r/>
          </w:p>
        </w:tc>
        <w:tc>
          <w:tcPr>
            <w:tcW w:w="1968"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杨仕钰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夏佳杉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Carbon</w:t>
            </w:r>
            <w:r/>
          </w:p>
        </w:tc>
        <w:tc>
          <w:tcPr>
            <w:tcW w:w="1190" w:type="dxa"/>
            <w:vAlign w:val="center"/>
            <w:textDirection w:val="lrTb"/>
            <w:noWrap w:val="false"/>
          </w:tcPr>
          <w:p>
            <w:pPr>
              <w:jc w:val="left"/>
              <w:rPr>
                <w:rFonts w:ascii="Times New Roman" w:hAnsi="Times New Roman" w:cs="Times New Roman"/>
                <w:sz w:val="20"/>
                <w:szCs w:val="20"/>
              </w:rPr>
            </w:pPr>
            <w:r>
              <w:rPr>
                <w:rFonts w:ascii="Times New Roman" w:hAnsi="Times New Roman" w:cs="Times New Roman"/>
                <w:sz w:val="20"/>
                <w:szCs w:val="20"/>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w:t>
            </w:r>
            <w:r/>
          </w:p>
        </w:tc>
        <w:tc>
          <w:tcPr>
            <w:tcW w:w="2765"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七制香附丸中无机元素的分析及健康风险评估</w:t>
            </w:r>
            <w:r/>
          </w:p>
        </w:tc>
        <w:tc>
          <w:tcPr>
            <w:tcW w:w="1968"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李俊霖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沈沅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卞如玉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代磊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何丹</w:t>
            </w:r>
            <w:r/>
          </w:p>
        </w:tc>
        <w:tc>
          <w:tcPr>
            <w:tcW w:w="1440"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中国医院药学杂志</w:t>
            </w:r>
            <w:r/>
          </w:p>
        </w:tc>
        <w:tc>
          <w:tcPr>
            <w:tcW w:w="1190" w:type="dxa"/>
            <w:vAlign w:val="center"/>
            <w:textDirection w:val="lrTb"/>
            <w:noWrap w:val="false"/>
          </w:tcPr>
          <w:p>
            <w:pPr>
              <w:jc w:val="left"/>
              <w:rPr>
                <w:rFonts w:ascii="Times New Roman" w:hAnsi="Times New Roman" w:cs="Times New Roman"/>
                <w:sz w:val="20"/>
                <w:szCs w:val="20"/>
              </w:rPr>
            </w:pPr>
            <w:r>
              <w:rPr>
                <w:rFonts w:ascii="Times New Roman" w:hAnsi="Times New Roman" w:cs="Times New Roman"/>
                <w:sz w:val="20"/>
                <w:szCs w:val="20"/>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中文核心期刊</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3</w:t>
            </w:r>
            <w:r/>
          </w:p>
        </w:tc>
        <w:tc>
          <w:tcPr>
            <w:tcW w:w="2765"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Resveratrol inhibits proliferation and induces apoptosis via the Hippo/YAP pathway in human colon cancer cells</w:t>
            </w:r>
            <w:r/>
          </w:p>
        </w:tc>
        <w:tc>
          <w:tcPr>
            <w:tcW w:w="1968"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秦小英</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罗泓鸿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邓懿轩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姚欣彤</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何百成</w:t>
            </w:r>
            <w:r/>
          </w:p>
        </w:tc>
        <w:tc>
          <w:tcPr>
            <w:tcW w:w="1440"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Biochemical and Biophysical Research Communications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4</w:t>
            </w:r>
            <w:r/>
          </w:p>
        </w:tc>
        <w:tc>
          <w:tcPr>
            <w:tcW w:w="2765"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Dual-Emission ZAISe/ZnS quantum dots for Multi-level Bio-Imaging: Foam cells and atherosclerotic plaque imaging</w:t>
            </w:r>
            <w:r/>
          </w:p>
        </w:tc>
        <w:tc>
          <w:tcPr>
            <w:tcW w:w="1968"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张献明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杨仕钰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夏佳杉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Journal of colloid and interface science</w:t>
            </w:r>
            <w:r/>
          </w:p>
        </w:tc>
        <w:tc>
          <w:tcPr>
            <w:tcW w:w="1190" w:type="dxa"/>
            <w:vAlign w:val="center"/>
            <w:textDirection w:val="lrTb"/>
            <w:noWrap w:val="false"/>
          </w:tcPr>
          <w:p>
            <w:pPr>
              <w:jc w:val="left"/>
              <w:rPr>
                <w:rFonts w:ascii="Times New Roman" w:hAnsi="Times New Roman" w:cs="Times New Roman"/>
                <w:sz w:val="20"/>
                <w:szCs w:val="20"/>
              </w:rPr>
            </w:pPr>
            <w:r>
              <w:rPr>
                <w:rFonts w:ascii="Times New Roman" w:hAnsi="Times New Roman" w:cs="Times New Roman"/>
                <w:sz w:val="20"/>
                <w:szCs w:val="20"/>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5</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Surface Functionalization of Piperine-Loaded Liposomes with Sophorolipids Improves Drug Loading and Stability</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陈华黎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张倩玉</w:t>
            </w:r>
            <w:r/>
          </w:p>
        </w:tc>
        <w:tc>
          <w:tcPr>
            <w:tcW w:w="1440" w:type="dxa"/>
            <w:vAlign w:val="center"/>
            <w:textDirection w:val="lrTb"/>
            <w:noWrap w:val="false"/>
          </w:tcPr>
          <w:p>
            <w:pPr>
              <w:jc w:val="left"/>
              <w:widowControl/>
              <w:rPr>
                <w:rFonts w:ascii="Times New Roman" w:hAnsi="Times New Roman" w:cs="Times New Roman"/>
                <w:sz w:val="20"/>
                <w:szCs w:val="20"/>
              </w:rPr>
            </w:pPr>
            <w:r>
              <w:rPr>
                <w:rFonts w:ascii="Times New Roman" w:hAnsi="Times New Roman" w:cs="Times New Roman" w:eastAsia="宋体"/>
                <w:sz w:val="20"/>
                <w:szCs w:val="20"/>
                <w:lang w:bidi="ar"/>
              </w:rPr>
              <w:t xml:space="preserve">Journal of Pharmaceutical Innovation</w:t>
            </w:r>
            <w:r/>
          </w:p>
        </w:tc>
        <w:tc>
          <w:tcPr>
            <w:tcW w:w="1190" w:type="dxa"/>
            <w:vAlign w:val="center"/>
            <w:textDirection w:val="lrTb"/>
            <w:noWrap w:val="false"/>
          </w:tcPr>
          <w:p>
            <w:pPr>
              <w:jc w:val="left"/>
              <w:rPr>
                <w:rFonts w:ascii="Times New Roman" w:hAnsi="Times New Roman" w:cs="Times New Roman"/>
                <w:sz w:val="20"/>
                <w:szCs w:val="20"/>
              </w:rPr>
            </w:pPr>
            <w:r>
              <w:rPr>
                <w:rFonts w:ascii="Times New Roman" w:hAnsi="Times New Roman" w:cs="Times New Roman"/>
                <w:sz w:val="20"/>
                <w:szCs w:val="20"/>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6</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大花黄牡丹种子的质量评价及初步抗氧化活性研究</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秦伟翰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兰小中</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瞿显友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樵星芳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w:t>
            </w:r>
            <w:r>
              <w:rPr>
                <w:rFonts w:ascii="Times New Roman" w:hAnsi="Times New Roman" w:cs="Times New Roman" w:eastAsia="宋体"/>
                <w:sz w:val="20"/>
                <w:szCs w:val="20"/>
                <w:lang w:bidi="ar"/>
              </w:rPr>
              <w:t xml:space="preserve"> </w:t>
            </w:r>
            <w:r>
              <w:rPr>
                <w:rFonts w:ascii="Times New Roman" w:hAnsi="Times New Roman" w:cs="Times New Roman" w:eastAsia="宋体"/>
                <w:sz w:val="20"/>
                <w:szCs w:val="20"/>
                <w:lang w:bidi="ar"/>
              </w:rPr>
              <w:t xml:space="preserve">翔</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徐元江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邹佳佳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何丹</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天然产物研究与开发</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7</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二阿魏酰基甲烷纳米乳的肠吸收和药代动力学研究</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杨婕</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雷婷婷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赵德璋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张景勍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徐靖鑫</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赵华</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中国临床药理学杂志</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8</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Biomimetic macrophage membrane-coated gold-quantum dots with tumor microenvironment stimuli-responsive capability for tumor theranostic</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王帆</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余清华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蒋君好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MATERIALS TODAY BIO</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9</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MiR-702-5p ameliorates diabetic encephalopathy in db/db mice by regulating 12/15-LOX</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涂钰钧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郭文佳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向葡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黄海烽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费慧芝</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彭哲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顾超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谭晓丹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刘霞</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鲁懿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陈蓉春</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EXPERIMENTAL NEUROLOGY</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10</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Polyglycerol fatty acid esters as alternatives to PEGylated lipids for liposome coating</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陈华黎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张倩玉</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Nanomedicine</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11</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Development of polymeric microparticles for controlled release of bioactive drugs using modified solution enhanced dispersion by supercritical CO2</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辜鹏程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董宇涵</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衣启营</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成锡婷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张子阳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张丽娟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白燕</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The Journal of Supercritical Fluids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12</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呼吸重症监护病房患者耐碳青霉烯肺炎克雷伯菌感染死亡危险因素分析</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张欢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周维英</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蔡芸</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袁梽漪</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中国临床药理学杂志</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13</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High-efficiency removal of methcathinone from water using a novel DES modified magnetic biochar nanocomposite</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黄静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曹淑瑞</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刘正红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田杰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郗存显</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陈志琼</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Journal of Environmental Chemical Engineering</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10: 108456</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14</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A rapid construction of new boron heterocycles and evaluation of photophysical properties of iminoboronates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匡秋林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胡雪原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李雁武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商素琴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廖思维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宋一波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马婉倩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李素真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刘阿琴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刘小玲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张修宇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袁建勇</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Organic &amp; Biomolecular Chemistry</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15</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Blood-brain barrier penetrating carbon dots with intrinsic anti-inflammatory and </w:t>
            </w:r>
            <w:r>
              <w:rPr>
                <w:rFonts w:ascii="Times New Roman" w:hAnsi="Times New Roman" w:cs="Times New Roman" w:eastAsia="宋体"/>
                <w:sz w:val="20"/>
                <w:szCs w:val="20"/>
                <w:lang w:bidi="ar"/>
              </w:rPr>
              <w:t xml:space="preserve">drug-loading properties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张献明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余清华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杨仕钰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夏佳杉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Biomaterials Advances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16</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Pyridine hydrochloride-promoted C-C bond cleavage approach: A metal-free and peroxide-free facile method for the synthesis of amide derivatives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刘阿琴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李雁武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张修宇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匡秋林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李素真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廖思维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吴惠丽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郭梦怡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马婉倩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宋一波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胡雪原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袁建勇</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Tetrahedron Letters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17</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Different decorated ZIF-67 adsorption performance towards methamphetamine revealed by theoretical and experimental investigations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宋凤娇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曹淑瑞</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刘正红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苏泓滔</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陈志琼</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Journal of Molecular Liquids</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364: 119950</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18</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Ionic melting salt imidazole hydrochloride mediated the decarboxylation of (hetero)aromatic carboxylic acids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王印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李雁武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廖思维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张修宇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袁建勇</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Tetrahedron Letters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19</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Ferrocene-based multifunctional nanoparticles for combined chemo/chemodynamic/photothermal therapy</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杨嘉慧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张良珂</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J Colloid Interface Sci</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20</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Imidazole Hydrochloride Promoted Synthesis of Nitriles from Aldehydes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王印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王雪桐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李雁武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张修宇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李玲莉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何婷舒</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袁建勇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商素琴</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Current Organic Synthesis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21</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Intracellular K+-Responsive Block Copolymer Micelles for Targeted Drug Delivery of Curcumin</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江明月</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余清华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张献明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荆卫红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马丽梅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阳章友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Frontiers in Bioengineering and Biotechnology</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22</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Signal-on and selective detection of anti-tumor adjunctive drug zoledronic acid using fluorescent sulfur quantum dots</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谭娟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毕小雅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周一遥</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王燚</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张普</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Dyes and pigments</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2022, 205, 110520</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23</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Baicalein Prevents Fructose-Induced Hepatic </w:t>
            </w:r>
            <w:r>
              <w:rPr>
                <w:rFonts w:ascii="Times New Roman" w:hAnsi="Times New Roman" w:cs="Times New Roman" w:eastAsia="宋体"/>
                <w:sz w:val="20"/>
                <w:szCs w:val="20"/>
                <w:lang w:bidi="ar"/>
              </w:rPr>
              <w:t xml:space="preserve">Steatosis in Rats: In the Regulation of Fatty Acid De Novo Synthesis, Fatty Acid Elongation and Fatty Acid Oxidation</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李盼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张若玉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陈雨微</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柯秀梅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左玲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王建伟</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Frontiers in pharmacology</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13:917329</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24</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Determination of 23 related analytes in bone marrow fluid and hippocampus of C57BL/6 mice on cerebral ischemia-reperfusion injury by HPLC-FLD</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张静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李建沙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龚涛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黄素琼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熊焱</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蒋心惠</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biomedical chromatography</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25</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基于部分药效和毒副作用探索中药汤剂抑苦掩味伴侣剂的影响：以黄连解</w:t>
            </w:r>
            <w:r>
              <w:rPr>
                <w:rFonts w:ascii="Times New Roman" w:hAnsi="Times New Roman" w:cs="Times New Roman" w:eastAsia="宋体"/>
                <w:sz w:val="20"/>
                <w:szCs w:val="20"/>
                <w:lang w:bidi="ar"/>
              </w:rPr>
              <w:t xml:space="preserve"> </w:t>
            </w:r>
            <w:r>
              <w:rPr>
                <w:rFonts w:ascii="Times New Roman" w:hAnsi="Times New Roman" w:cs="Times New Roman" w:eastAsia="宋体"/>
                <w:sz w:val="20"/>
                <w:szCs w:val="20"/>
                <w:lang w:bidi="ar"/>
              </w:rPr>
              <w:t xml:space="preserve">毒汤为例</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柯秀梅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周文杰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廖丽萍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肖浪浪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施汝欣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王建伟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韩丽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张定堃</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中草药</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53(12):3625-3631</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26</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The relationship between the contents of 13 amino acids in brain tissues  and the progression of NAFLD via C57BL/6 model mice</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黄素琼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万敬员</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杜婷婷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龚涛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蒋心惠</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Journal of Chinese Pharmaceutical Sciences</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27</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Better bioactivity, cerebral metabolism and pharmacokinetics of natural medicine and its advanced version</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谢佳希</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钟彩灵</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吕露阳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杨婕</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袁子怡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张景勍</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Front Pharmacol</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2022 Jun 27;13:937075</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28</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盐酸小檗碱脂质纳米粒的药代动力学及生物等效性研究</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袁誉铭</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徐靖鑫</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张景勍</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中国临床药理学杂志</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2022,38(11):1251-1254</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29</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Screening of and mechanism underlying the action of serum- and glucocorticoid-regulated kinase 3-targeted drugs against estrogen receptor-positive breast cancer</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周端方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于晓萍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宋燚</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曾鸿芳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王雅蘭</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李虹瑶</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刘旭</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何起臣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李小丽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周维英</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European Journal of Pharmacology</w:t>
            </w:r>
            <w:r/>
          </w:p>
        </w:tc>
        <w:tc>
          <w:tcPr>
            <w:tcW w:w="1190" w:type="dxa"/>
            <w:vAlign w:val="center"/>
            <w:textDirection w:val="lrTb"/>
            <w:noWrap w:val="false"/>
          </w:tcPr>
          <w:p>
            <w:pPr>
              <w:jc w:val="left"/>
              <w:rPr>
                <w:rFonts w:ascii="Times New Roman" w:hAnsi="Times New Roman" w:cs="Times New Roman" w:eastAsia="黑体"/>
              </w:rPr>
            </w:pPr>
            <w:r>
              <w:rPr>
                <w:rFonts w:ascii="Times New Roman" w:hAnsi="Times New Roman" w:cs="Times New Roman" w:eastAsia="黑体"/>
              </w:rPr>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eastAsia="黑体"/>
              </w:rPr>
            </w:pPr>
            <w:r>
              <w:rPr>
                <w:rFonts w:ascii="Times New Roman" w:hAnsi="Times New Roman" w:cs="Times New Roman"/>
                <w:sz w:val="22"/>
                <w:szCs w:val="22"/>
              </w:rPr>
              <w:t xml:space="preserve">30</w:t>
            </w:r>
            <w:r/>
          </w:p>
        </w:tc>
        <w:tc>
          <w:tcPr>
            <w:tcW w:w="2765"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Oral supramolecular nanovectors for dual natural medicine codelivery to prevent gastric mucosal lesion</w:t>
            </w:r>
            <w:r/>
          </w:p>
        </w:tc>
        <w:tc>
          <w:tcPr>
            <w:tcW w:w="1968"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陈云</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张敏</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赵华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刘颖菊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雷婷婷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向晓燕</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吕露阳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袁子怡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徐靖鑫</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张景勍</w:t>
            </w:r>
            <w:r/>
          </w:p>
        </w:tc>
        <w:tc>
          <w:tcPr>
            <w:tcW w:w="144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Nanoscale</w:t>
            </w:r>
            <w:r/>
          </w:p>
        </w:tc>
        <w:tc>
          <w:tcPr>
            <w:tcW w:w="1190"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2022 Jun 7;14:8967-8977</w:t>
            </w:r>
            <w:r/>
          </w:p>
        </w:tc>
        <w:tc>
          <w:tcPr>
            <w:tcW w:w="793"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eastAsia="黑体"/>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sz w:val="22"/>
                <w:szCs w:val="22"/>
              </w:rPr>
            </w:pPr>
            <w:r>
              <w:rPr>
                <w:rFonts w:ascii="Times New Roman" w:hAnsi="Times New Roman" w:cs="Times New Roman"/>
                <w:sz w:val="22"/>
                <w:szCs w:val="22"/>
              </w:rPr>
              <w:t xml:space="preserve">31</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肌腱仿生用定向</w:t>
            </w:r>
            <w:r>
              <w:rPr>
                <w:rFonts w:ascii="Times New Roman" w:hAnsi="Times New Roman" w:cs="Times New Roman" w:eastAsia="宋体"/>
                <w:sz w:val="20"/>
                <w:szCs w:val="20"/>
                <w:lang w:bidi="ar"/>
              </w:rPr>
              <w:t xml:space="preserve"> PLLA </w:t>
            </w:r>
            <w:r>
              <w:rPr>
                <w:rFonts w:ascii="Times New Roman" w:hAnsi="Times New Roman" w:cs="Times New Roman" w:eastAsia="宋体"/>
                <w:sz w:val="20"/>
                <w:szCs w:val="20"/>
                <w:lang w:bidi="ar"/>
              </w:rPr>
              <w:t xml:space="preserve">微纳米纤维的静电纺丝工艺参数研究</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董宇涵</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辜鹏程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张子阳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张丽娟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白燕</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材料科学与工艺</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32</w:t>
            </w:r>
            <w:r/>
          </w:p>
          <w:p>
            <w:pPr>
              <w:pStyle w:val="395"/>
              <w:outlineLvl w:val="0"/>
            </w:pPr>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Maternal Prenatal Inflammation Increases Brain Damage Susceptibility of Lipopolysaccharide in Adult Rat Offspring via COX-2/PGD-2/DPs Pathway Activation</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张家化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姚佩双</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韩文莉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李雨珂</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胡聪俐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黄海烽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彭哲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谭晓丹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李苗苗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International Journal of Molecular Sciences</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33</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PPARβ</w:t>
            </w:r>
            <w:r>
              <w:rPr>
                <w:rFonts w:ascii="Times New Roman" w:hAnsi="Times New Roman" w:cs="Times New Roman" w:eastAsia="宋体"/>
                <w:sz w:val="20"/>
                <w:szCs w:val="20"/>
                <w:lang w:bidi="ar"/>
              </w:rPr>
              <w:t xml:space="preserve">调控硝化应激参与高糖对内皮细胞的损伤</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阳创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熊宝萍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郑雲丹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李斯曼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周上钧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蒋青松</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中国药理学通报</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38</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6</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848-53</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34</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儿童家长使用抗菌药物自我药疗认知水平及影响因素研究</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陈思芪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严波</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陆军军医大学学报</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35</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Design of Rational JAK3 Inhibitors Based on the Parent Core Structure of 1,7-Dihydro-Dipyrrolo [2,3-b:30 ,20 -e] Pyridine</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李奕昊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孟丹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谢佳利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李若雨</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王梓璠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李金龙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牟林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邓昕豪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邓萍</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INTERNATIONAL JOURNAL OF MOLECULAR SCIENCES</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23:5437</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36</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Distinct role of mono-2-ethylhexyl phthalate in neuronal transmission in rat CA3 hippocampal neurons: involvement of ion channels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鲁懿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蒋文高</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辛红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,Santiago Loya-López(</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顾怀宇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冉冬芝</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Molecules</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27(10), 3082</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37</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Pd-Catalyzed Tandem [5 + 2] Cycloaddition/Ring Contraction of Phthalide-Derived Alkenes and Vinylethylene Carbonates for the Construction of Benzo-[5,5]-spiroketal Lactones.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熊强</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石柳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冉光尧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冉光尧</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Organic Letters</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38</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GC</w:t>
            </w:r>
            <w:r>
              <w:rPr>
                <w:rFonts w:ascii="Times New Roman" w:hAnsi="Times New Roman" w:cs="Times New Roman" w:eastAsia="宋体"/>
                <w:sz w:val="20"/>
                <w:szCs w:val="20"/>
                <w:lang w:bidi="ar"/>
              </w:rPr>
              <w:t xml:space="preserve">法测定恩替卡韦中的苯甲醇和氯化苄</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王娜娜</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张道林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蒋心惠</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华西药学杂志</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w:t>
            </w:r>
            <w:r>
              <w:rPr>
                <w:rFonts w:ascii="Times New Roman" w:hAnsi="Times New Roman" w:cs="Times New Roman" w:eastAsia="宋体"/>
                <w:sz w:val="20"/>
                <w:szCs w:val="20"/>
                <w:lang w:bidi="ar"/>
              </w:rPr>
              <w:t xml:space="preserve">年</w:t>
            </w:r>
            <w:r>
              <w:rPr>
                <w:rFonts w:ascii="Times New Roman" w:hAnsi="Times New Roman" w:cs="Times New Roman" w:eastAsia="宋体"/>
                <w:sz w:val="20"/>
                <w:szCs w:val="20"/>
                <w:lang w:bidi="ar"/>
              </w:rPr>
              <w:t xml:space="preserve">4</w:t>
            </w:r>
            <w:r>
              <w:rPr>
                <w:rFonts w:ascii="Times New Roman" w:hAnsi="Times New Roman" w:cs="Times New Roman" w:eastAsia="宋体"/>
                <w:sz w:val="20"/>
                <w:szCs w:val="20"/>
                <w:lang w:bidi="ar"/>
              </w:rPr>
              <w:t xml:space="preserve">月第</w:t>
            </w:r>
            <w:r>
              <w:rPr>
                <w:rFonts w:ascii="Times New Roman" w:hAnsi="Times New Roman" w:cs="Times New Roman" w:eastAsia="宋体"/>
                <w:sz w:val="20"/>
                <w:szCs w:val="20"/>
                <w:lang w:bidi="ar"/>
              </w:rPr>
              <w:t xml:space="preserve">37</w:t>
            </w:r>
            <w:r>
              <w:rPr>
                <w:rFonts w:ascii="Times New Roman" w:hAnsi="Times New Roman" w:cs="Times New Roman" w:eastAsia="宋体"/>
                <w:sz w:val="20"/>
                <w:szCs w:val="20"/>
                <w:lang w:bidi="ar"/>
              </w:rPr>
              <w:t xml:space="preserve">卷第二期</w:t>
            </w:r>
            <w:r>
              <w:rPr>
                <w:rFonts w:ascii="Times New Roman" w:hAnsi="Times New Roman" w:cs="Times New Roman" w:eastAsia="宋体"/>
                <w:sz w:val="20"/>
                <w:szCs w:val="20"/>
                <w:lang w:bidi="ar"/>
              </w:rPr>
              <w:t xml:space="preserve">203</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39</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HPLC</w:t>
            </w:r>
            <w:r>
              <w:rPr>
                <w:rFonts w:ascii="Times New Roman" w:hAnsi="Times New Roman" w:cs="Times New Roman" w:eastAsia="宋体"/>
                <w:sz w:val="20"/>
                <w:szCs w:val="20"/>
                <w:lang w:bidi="ar"/>
              </w:rPr>
              <w:t xml:space="preserve">测定抑郁症大鼠脑脊液与血浆中的</w:t>
            </w:r>
            <w:r>
              <w:rPr>
                <w:rFonts w:ascii="Times New Roman" w:hAnsi="Times New Roman" w:cs="Times New Roman" w:eastAsia="宋体"/>
                <w:sz w:val="20"/>
                <w:szCs w:val="20"/>
                <w:lang w:bidi="ar"/>
              </w:rPr>
              <w:t xml:space="preserve">7</w:t>
            </w:r>
            <w:r>
              <w:rPr>
                <w:rFonts w:ascii="Times New Roman" w:hAnsi="Times New Roman" w:cs="Times New Roman" w:eastAsia="宋体"/>
                <w:sz w:val="20"/>
                <w:szCs w:val="20"/>
                <w:lang w:bidi="ar"/>
              </w:rPr>
              <w:t xml:space="preserve">种氨基酸</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崔婷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邱红梅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刘永红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杜婷婷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李建沙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蒋心惠</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华西药学杂志</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w:t>
            </w:r>
            <w:r>
              <w:rPr>
                <w:rFonts w:ascii="Times New Roman" w:hAnsi="Times New Roman" w:cs="Times New Roman" w:eastAsia="宋体"/>
                <w:sz w:val="20"/>
                <w:szCs w:val="20"/>
                <w:lang w:bidi="ar"/>
              </w:rPr>
              <w:t xml:space="preserve">年</w:t>
            </w:r>
            <w:r>
              <w:rPr>
                <w:rFonts w:ascii="Times New Roman" w:hAnsi="Times New Roman" w:cs="Times New Roman" w:eastAsia="宋体"/>
                <w:sz w:val="20"/>
                <w:szCs w:val="20"/>
                <w:lang w:bidi="ar"/>
              </w:rPr>
              <w:t xml:space="preserve">4</w:t>
            </w:r>
            <w:r>
              <w:rPr>
                <w:rFonts w:ascii="Times New Roman" w:hAnsi="Times New Roman" w:cs="Times New Roman" w:eastAsia="宋体"/>
                <w:sz w:val="20"/>
                <w:szCs w:val="20"/>
                <w:lang w:bidi="ar"/>
              </w:rPr>
              <w:t xml:space="preserve">月第</w:t>
            </w:r>
            <w:r>
              <w:rPr>
                <w:rFonts w:ascii="Times New Roman" w:hAnsi="Times New Roman" w:cs="Times New Roman" w:eastAsia="宋体"/>
                <w:sz w:val="20"/>
                <w:szCs w:val="20"/>
                <w:lang w:bidi="ar"/>
              </w:rPr>
              <w:t xml:space="preserve">37</w:t>
            </w:r>
            <w:r>
              <w:rPr>
                <w:rFonts w:ascii="Times New Roman" w:hAnsi="Times New Roman" w:cs="Times New Roman" w:eastAsia="宋体"/>
                <w:sz w:val="20"/>
                <w:szCs w:val="20"/>
                <w:lang w:bidi="ar"/>
              </w:rPr>
              <w:t xml:space="preserve">卷第</w:t>
            </w:r>
            <w:r>
              <w:rPr>
                <w:rFonts w:ascii="Times New Roman" w:hAnsi="Times New Roman" w:cs="Times New Roman" w:eastAsia="宋体"/>
                <w:sz w:val="20"/>
                <w:szCs w:val="20"/>
                <w:lang w:bidi="ar"/>
              </w:rPr>
              <w:t xml:space="preserve">2</w:t>
            </w:r>
            <w:r>
              <w:rPr>
                <w:rFonts w:ascii="Times New Roman" w:hAnsi="Times New Roman" w:cs="Times New Roman" w:eastAsia="宋体"/>
                <w:sz w:val="20"/>
                <w:szCs w:val="20"/>
                <w:lang w:bidi="ar"/>
              </w:rPr>
              <w:t xml:space="preserve">期</w:t>
            </w:r>
            <w:r>
              <w:rPr>
                <w:rFonts w:ascii="Times New Roman" w:hAnsi="Times New Roman" w:cs="Times New Roman" w:eastAsia="宋体"/>
                <w:sz w:val="20"/>
                <w:szCs w:val="20"/>
                <w:lang w:bidi="ar"/>
              </w:rPr>
              <w:t xml:space="preserve">187</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40</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Baicalin ameliorates alcohol-induced hepatic steatosis by suppressing SREBP1c elicited PNPLA3 competitive binding to ATGL</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李盼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陈雨微</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柯秀梅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张若玉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左玲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罗先钦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王建伟</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ARCHIVES OF BIOCHEMISTRY AND BIOPHYSICS</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722:109236</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41</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Maternal Inflammation Exaggerates Offspring Susceptibility to Cerebral Ischemia–Reperfusion Injury via the COX-2/PGD2/DP2 Pathway Activation</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李雨珂</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张家化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韩文莉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夏慧</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陈志昊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胡聪俐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黄海烽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彭哲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谭晓丹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李苗苗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Oxidative Medicine and Cellular Longevity</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42</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Hydrochloride Berberine ameliorates alcohol-induced liver injury by regulating inflammation and lipid metabolism</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柯秀梅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张若玉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左玲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杨军宣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王建伟</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Biochemical and Biophysical Research Communications</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610 (2022) 49-55</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43</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新冠疫情常态化下高校药学类科研实验室管理的实践与探索</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张万萍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沈沅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于瑞红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马丽梅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袁梽漪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余瑜</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医师在线</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第</w:t>
            </w:r>
            <w:r>
              <w:rPr>
                <w:rFonts w:ascii="Times New Roman" w:hAnsi="Times New Roman" w:cs="Times New Roman" w:eastAsia="宋体"/>
                <w:sz w:val="20"/>
                <w:szCs w:val="20"/>
                <w:lang w:bidi="ar"/>
              </w:rPr>
              <w:t xml:space="preserve">9</w:t>
            </w:r>
            <w:r>
              <w:rPr>
                <w:rFonts w:ascii="Times New Roman" w:hAnsi="Times New Roman" w:cs="Times New Roman" w:eastAsia="宋体"/>
                <w:sz w:val="20"/>
                <w:szCs w:val="20"/>
                <w:lang w:bidi="ar"/>
              </w:rPr>
              <w:t xml:space="preserve">卷</w:t>
            </w:r>
            <w:r>
              <w:rPr>
                <w:rFonts w:ascii="Times New Roman" w:hAnsi="Times New Roman" w:cs="Times New Roman" w:eastAsia="宋体"/>
                <w:sz w:val="20"/>
                <w:szCs w:val="20"/>
                <w:lang w:bidi="ar"/>
              </w:rPr>
              <w:t xml:space="preserve">8</w:t>
            </w:r>
            <w:r>
              <w:rPr>
                <w:rFonts w:ascii="Times New Roman" w:hAnsi="Times New Roman" w:cs="Times New Roman" w:eastAsia="宋体"/>
                <w:sz w:val="20"/>
                <w:szCs w:val="20"/>
                <w:lang w:bidi="ar"/>
              </w:rPr>
              <w:t xml:space="preserve">期</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中文专著</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44</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Imidazolium chloride as an additive for synthesis of perimidines using 1,8-di‐ aminonaphthalene and DMF derivatives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张修宇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廖思维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刘阿琴</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刘小玲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匡秋林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黄欣</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吴慧丽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袁建勇</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Tetrahedron Letters</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45</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网络毒理方法用于抗生素肝毒性预测的研究</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唐甜甜</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张永红</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国外医药抗生素分册</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中文专著</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46</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Peripheral Neuropathy During Concomitant Administration of Proteasome Inhibitors and Factor Xa Inhibitors: Identifying the Likelihood of Drug-Drug Interactions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蒙龙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黄靓</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邱峰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单雪峰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孙树森</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王郁薇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Frontiers in Pharmacology</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47</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Divergent oxidative dearomatization coupling reactions to construct polycyclic cyclohexadienones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蒲倩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霍明明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梁国娟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白丽娟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陈艮辉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李红娇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向鹏</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周静</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CHEMICAL COMMUNICATIONS</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48</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miR-204-5p is sponged by TUG1 to aggravate neuron damage induced by focal cerebral ischemia and reperfusion injury through upregulating COX2</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向葡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胡建</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罗映</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顾超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谭晓丹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涂钰均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郭文佳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高林</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陈蓉春</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CELL  DEATH  DISCOVERY</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49</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川渝地区家长自行对儿童使用抗菌药物的调查分析</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陈思芪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郑航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严波</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中国药房</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中文专著</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50</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Antigen-Presenting Cell-Like Neutrophils Foster T Cell Response in Hyperlipidemic Patients and Atherosclerotic Mice.</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赵庭瑞</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蒋青松</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李文明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王隐</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邹瑶</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柴鑫雨</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袁梽漪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马丽梅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于瑞红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王婷婷</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Frontiers  in Immunology</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51</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Sestrin2 reduces cancer stemness via Wnt/β-catenin signaling in colorectal cancer</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魏锦来</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郑相如</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李文军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李小丽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傅仲学</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Cancer Cell International</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22</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1</w:t>
            </w:r>
            <w:r>
              <w:rPr>
                <w:rFonts w:ascii="Times New Roman" w:hAnsi="Times New Roman" w:cs="Times New Roman" w:eastAsia="宋体"/>
                <w:sz w:val="20"/>
                <w:szCs w:val="20"/>
                <w:lang w:bidi="ar"/>
              </w:rPr>
              <w:t xml:space="preserve">）</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52</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Titanium-Mediated Domino Cross-Coupling/Cyclodehydration and Aldol-Addition/Cyclocondensation: Concise and Regioselective Synthesis of Polysubstituted and Fused Furans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任路</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罗娟</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谭林波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唐强</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The Journal of Organic Chemistry</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87, 3167-3176</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53</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Functionalized Mn3O4 Nanosheets with Photothermal,Photodynamic, and Oxidase-Like Activities Triggered by Low-Powered Near-Infrared Light for Synergetic Combating Multidrug-Resistant Bacterial Infections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张馨文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闵远弘</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张琪</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吴世阅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付文升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吴茳玲</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黎明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王燚</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张普</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Adv. Healthcare Mater.</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2022, 2200121</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54</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药学为民</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融入药学研究生新药研发专业教学的探索</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张景勍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冯涛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李天泉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张永红</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新教育时代</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2022(5):133-135</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中文专著</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55</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Promoting Apoptosis, a Promising Way to Treat Breast Cancer With Natural Products: A Comprehensive Review</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袁烈</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蔡永青</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张亮</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刘思佳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李攀</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李小丽</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Frontiers in pharmacology</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56</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Schizophrenia predisposition gene Unc</w:t>
            </w:r>
            <w:r>
              <w:rPr>
                <w:rFonts w:ascii="Times New Roman" w:hAnsi="Times New Roman" w:cs="Times New Roman" w:eastAsia="宋体"/>
                <w:sz w:val="20"/>
                <w:szCs w:val="20"/>
                <w:lang w:bidi="ar"/>
              </w:rPr>
              <w:noBreakHyphen/>
              <w:t xml:space="preserve">51</w:t>
            </w:r>
            <w:r>
              <w:rPr>
                <w:rFonts w:ascii="Times New Roman" w:hAnsi="Times New Roman" w:cs="Times New Roman" w:eastAsia="宋体"/>
                <w:sz w:val="20"/>
                <w:szCs w:val="20"/>
                <w:lang w:bidi="ar"/>
              </w:rPr>
              <w:noBreakHyphen/>
              <w:t xml:space="preserve">like kinase 4 for the improvement of cerebral ischemia/reperfusion injury</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罗文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MOLECULAR BIOLOGY REPORTS</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57</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14,15-EET involved in the development of diabetic cardiac hypertrophy mediated by PPARs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阳创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邱红梅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杨俊霞</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吴柯</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丁淑梅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蒋成燕</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蒋青松</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Prostaglandins Other Lipid Mediat  .</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2022;159:106620.</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58</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单齿配体取代基对钌</w:t>
            </w:r>
            <w:r>
              <w:rPr>
                <w:rFonts w:ascii="Times New Roman" w:hAnsi="Times New Roman" w:cs="Times New Roman" w:eastAsia="宋体"/>
                <w:sz w:val="20"/>
                <w:szCs w:val="20"/>
                <w:lang w:bidi="ar"/>
              </w:rPr>
              <w:t xml:space="preserve">( II)</w:t>
            </w:r>
            <w:r>
              <w:rPr>
                <w:rFonts w:ascii="Times New Roman" w:hAnsi="Times New Roman" w:cs="Times New Roman" w:eastAsia="宋体"/>
                <w:sz w:val="20"/>
                <w:szCs w:val="20"/>
                <w:lang w:bidi="ar"/>
              </w:rPr>
              <w:t xml:space="preserve">芳烃配合物光致配体解离能力的影响</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李静思</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赵华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刘珊</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陈永洁</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化学通报</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59</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Biomimetic lipidic nanovectors for effective asparaginase supramolecule delivery</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吴艳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万胜利</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陈云</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范京川</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李瑶</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王婷婷</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袁子怡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杨强</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秦红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徐靖鑫</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张景勍</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Nanomedicine: Nanotechnology, Biology, and Medicine</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41:102518</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60</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ZIF-based carbon dots with lysosome-Golgi transport property as visualization platform for deep tumour therapy via hierarchical size/charge dual-transform and transcytosis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张献明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蒋君好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余清华</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杨仕钰</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夏佳杉</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邓涛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于超</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Nanoscale</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61</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ｍ</w:t>
            </w:r>
            <w:r>
              <w:rPr>
                <w:rFonts w:ascii="Times New Roman" w:hAnsi="Times New Roman" w:cs="Times New Roman" w:eastAsia="宋体"/>
                <w:sz w:val="20"/>
                <w:szCs w:val="20"/>
                <w:lang w:bidi="ar"/>
              </w:rPr>
              <w:t xml:space="preserve">iR-204-5p</w:t>
            </w:r>
            <w:r>
              <w:rPr>
                <w:rFonts w:ascii="Times New Roman" w:hAnsi="Times New Roman" w:cs="Times New Roman" w:eastAsia="宋体"/>
                <w:sz w:val="20"/>
                <w:szCs w:val="20"/>
                <w:lang w:bidi="ar"/>
              </w:rPr>
              <w:t xml:space="preserve">在氧糖剥夺</w:t>
            </w:r>
            <w:r>
              <w:rPr>
                <w:rFonts w:ascii="Times New Roman" w:hAnsi="Times New Roman" w:cs="Times New Roman" w:eastAsia="宋体"/>
                <w:sz w:val="20"/>
                <w:szCs w:val="20"/>
                <w:lang w:bidi="ar"/>
              </w:rPr>
              <w:t xml:space="preserve"> </w:t>
            </w:r>
            <w:r>
              <w:rPr>
                <w:rFonts w:ascii="Times New Roman" w:hAnsi="Times New Roman" w:cs="Times New Roman" w:eastAsia="宋体"/>
                <w:sz w:val="20"/>
                <w:szCs w:val="20"/>
                <w:lang w:bidi="ar"/>
              </w:rPr>
              <w:t xml:space="preserve">／复糖复氧致</w:t>
            </w:r>
            <w:r>
              <w:rPr>
                <w:rFonts w:ascii="Times New Roman" w:hAnsi="Times New Roman" w:cs="Times New Roman" w:eastAsia="宋体"/>
                <w:sz w:val="20"/>
                <w:szCs w:val="20"/>
                <w:lang w:bidi="ar"/>
              </w:rPr>
              <w:t xml:space="preserve">SH-SY5Y</w:t>
            </w:r>
            <w:r>
              <w:rPr>
                <w:rFonts w:ascii="Times New Roman" w:hAnsi="Times New Roman" w:cs="Times New Roman" w:eastAsia="宋体"/>
                <w:sz w:val="20"/>
                <w:szCs w:val="20"/>
                <w:lang w:bidi="ar"/>
              </w:rPr>
              <w:t xml:space="preserve">细胞损伤中的作用研究</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涂钰均</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向葡</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郭文佳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顾超</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谭晓丹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杨俊卿</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中国药学杂志</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CSCD</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62</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Endoplasmic reticulum stress inhibits AR expression via the PERK/eIF2α/ATF4 pathway in luminal androgen receptor triple-negative breast cancer and prostate cancer</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李小丽</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周端方</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蔡永青</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于晓萍</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郑相如</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陈波</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李文军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曾鸿芳</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),Moustapha Hassan(</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),Ying Zhao(</w:t>
            </w:r>
            <w:r>
              <w:rPr>
                <w:rFonts w:ascii="Times New Roman" w:hAnsi="Times New Roman" w:cs="Times New Roman" w:eastAsia="宋体"/>
                <w:sz w:val="20"/>
                <w:szCs w:val="20"/>
                <w:lang w:bidi="ar"/>
              </w:rPr>
              <w:t xml:space="preserve">外</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周维英</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npj Breast Cancer</w:t>
            </w:r>
            <w:r/>
          </w:p>
        </w:tc>
        <w:tc>
          <w:tcPr>
            <w:tcW w:w="119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1(8):1-13</w:t>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r>
        <w:trPr/>
        <w:tc>
          <w:tcPr>
            <w:tcW w:w="553" w:type="dxa"/>
            <w:vAlign w:val="center"/>
            <w:textDirection w:val="lrTb"/>
            <w:noWrap w:val="false"/>
          </w:tcPr>
          <w:p>
            <w:pPr>
              <w:jc w:val="left"/>
              <w:spacing w:after="163" w:before="163"/>
              <w:rPr>
                <w:rFonts w:ascii="Times New Roman" w:hAnsi="Times New Roman" w:cs="Times New Roman"/>
              </w:rPr>
            </w:pPr>
            <w:r>
              <w:rPr>
                <w:rFonts w:ascii="Times New Roman" w:hAnsi="Times New Roman" w:cs="Times New Roman"/>
              </w:rPr>
              <w:t xml:space="preserve">63</w:t>
            </w:r>
            <w:r/>
          </w:p>
        </w:tc>
        <w:tc>
          <w:tcPr>
            <w:tcW w:w="2765"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A renewable electrochemical sensor based on chiral molecules self-assembled </w:t>
            </w:r>
            <w:r>
              <w:rPr>
                <w:rFonts w:ascii="Times New Roman" w:hAnsi="Times New Roman" w:cs="Times New Roman" w:eastAsia="宋体"/>
                <w:sz w:val="20"/>
                <w:szCs w:val="20"/>
                <w:lang w:bidi="ar"/>
              </w:rPr>
              <w:t xml:space="preserve">framework for efficient identification of tryptophan isomers</w:t>
            </w:r>
            <w:r/>
          </w:p>
        </w:tc>
        <w:tc>
          <w:tcPr>
            <w:tcW w:w="1968"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龚涛</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朱姝</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黄素琼</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辜鹏程</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熊焱</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张静</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学</w:t>
            </w:r>
            <w:r>
              <w:rPr>
                <w:rFonts w:ascii="Times New Roman" w:hAnsi="Times New Roman" w:cs="Times New Roman" w:eastAsia="宋体"/>
                <w:sz w:val="20"/>
                <w:szCs w:val="20"/>
                <w:lang w:bidi="ar"/>
              </w:rPr>
              <w:t xml:space="preserve">),</w:t>
            </w:r>
            <w:r>
              <w:rPr>
                <w:rFonts w:ascii="Times New Roman" w:hAnsi="Times New Roman" w:cs="Times New Roman" w:eastAsia="宋体"/>
                <w:sz w:val="20"/>
                <w:szCs w:val="20"/>
                <w:lang w:bidi="ar"/>
              </w:rPr>
              <w:t xml:space="preserve">蒋心</w:t>
            </w:r>
            <w:r>
              <w:rPr>
                <w:rFonts w:ascii="Times New Roman" w:hAnsi="Times New Roman" w:cs="Times New Roman" w:eastAsia="宋体"/>
                <w:sz w:val="20"/>
                <w:szCs w:val="20"/>
                <w:lang w:bidi="ar"/>
              </w:rPr>
              <w:t xml:space="preserve">惠</w:t>
            </w:r>
            <w:r/>
          </w:p>
        </w:tc>
        <w:tc>
          <w:tcPr>
            <w:tcW w:w="1440"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Analytica chemica acta</w:t>
            </w:r>
            <w:r/>
          </w:p>
        </w:tc>
        <w:tc>
          <w:tcPr>
            <w:tcW w:w="1190" w:type="dxa"/>
            <w:vAlign w:val="center"/>
            <w:textDirection w:val="lrTb"/>
            <w:noWrap w:val="false"/>
          </w:tcPr>
          <w:p>
            <w:pPr>
              <w:jc w:val="left"/>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r>
            <w:r/>
          </w:p>
        </w:tc>
        <w:tc>
          <w:tcPr>
            <w:tcW w:w="793" w:type="dxa"/>
            <w:vAlign w:val="center"/>
            <w:textDirection w:val="lrTb"/>
            <w:noWrap w:val="false"/>
          </w:tcPr>
          <w:p>
            <w:pPr>
              <w:jc w:val="left"/>
              <w:widowControl/>
              <w:rPr>
                <w:rFonts w:ascii="Times New Roman" w:hAnsi="Times New Roman" w:cs="Times New Roman" w:eastAsia="宋体"/>
                <w:sz w:val="20"/>
                <w:szCs w:val="20"/>
                <w:lang w:bidi="ar"/>
              </w:rPr>
            </w:pPr>
            <w:r>
              <w:rPr>
                <w:rFonts w:ascii="Times New Roman" w:hAnsi="Times New Roman" w:cs="Times New Roman" w:eastAsia="宋体"/>
                <w:sz w:val="20"/>
                <w:szCs w:val="20"/>
                <w:lang w:bidi="ar"/>
              </w:rPr>
              <w:t xml:space="preserve">SCI</w:t>
            </w:r>
            <w:r/>
          </w:p>
        </w:tc>
        <w:tc>
          <w:tcPr>
            <w:tcW w:w="851" w:type="dxa"/>
            <w:vAlign w:val="center"/>
            <w:textDirection w:val="lrTb"/>
            <w:noWrap w:val="false"/>
          </w:tcPr>
          <w:p>
            <w:pPr>
              <w:jc w:val="left"/>
              <w:widowControl/>
              <w:rPr>
                <w:rFonts w:ascii="Times New Roman" w:hAnsi="Times New Roman" w:cs="Times New Roman"/>
                <w:sz w:val="22"/>
                <w:szCs w:val="22"/>
              </w:rPr>
            </w:pPr>
            <w:r>
              <w:rPr>
                <w:rFonts w:ascii="Times New Roman" w:hAnsi="Times New Roman" w:cs="Times New Roman" w:eastAsia="宋体"/>
                <w:sz w:val="22"/>
                <w:szCs w:val="22"/>
                <w:lang w:bidi="ar"/>
              </w:rPr>
              <w:t xml:space="preserve">独立完成</w:t>
            </w:r>
            <w:r/>
          </w:p>
        </w:tc>
      </w:tr>
    </w:tbl>
    <w:p>
      <w:pPr>
        <w:jc w:val="left"/>
        <w:spacing w:before="163"/>
        <w:rPr>
          <w:rFonts w:ascii="楷体" w:hAnsi="楷体" w:eastAsia="楷体"/>
          <w:bCs/>
          <w:color w:val="000000"/>
        </w:rPr>
        <w:outlineLvl w:val="0"/>
      </w:pPr>
      <w:r>
        <w:rPr>
          <w:rFonts w:ascii="楷体" w:hAnsi="楷体" w:eastAsia="楷体"/>
          <w:bCs/>
          <w:color w:val="000000"/>
        </w:rPr>
      </w:r>
      <w:r/>
    </w:p>
    <w:p>
      <w:pPr>
        <w:spacing w:before="163"/>
        <w:rPr>
          <w:rFonts w:ascii="楷体" w:hAnsi="楷体" w:eastAsia="楷体"/>
          <w:color w:val="000000"/>
        </w:rPr>
        <w:outlineLvl w:val="0"/>
      </w:pPr>
      <w:r>
        <w:rPr>
          <w:rFonts w:ascii="楷体" w:hAnsi="楷体" w:eastAsia="楷体" w:hint="eastAsia"/>
          <w:bCs/>
          <w:color w:val="000000" w:themeColor="text1"/>
        </w:rPr>
        <w:t xml:space="preserve">注</w:t>
      </w:r>
      <w:r>
        <w:rPr>
          <w:rFonts w:ascii="楷体" w:hAnsi="楷体" w:cs="仿宋_GB2312" w:eastAsia="楷体" w:hint="eastAsia"/>
          <w:color w:val="000000" w:themeColor="text1"/>
        </w:rPr>
        <w:t xml:space="preserve">：（1）论文、专著均限于教学研究、学术论文或专著，一般文献综述及一般教材不填报。请将有示范中心成员署名的论文、专著依次以国外刊物、国内重要刊物，外文专著、中文专著为序分别填报。</w:t>
      </w:r>
      <w:r>
        <w:rPr>
          <w:rFonts w:ascii="Times New Roman" w:hAnsi="Times New Roman" w:cs="Times New Roman" w:eastAsia="楷体" w:hint="eastAsia"/>
          <w:color w:val="000000" w:themeColor="text1"/>
        </w:rPr>
        <w:t xml:space="preserve">（</w:t>
      </w:r>
      <w:r>
        <w:rPr>
          <w:rFonts w:ascii="Times New Roman" w:hAnsi="Times New Roman" w:cs="Times New Roman" w:eastAsia="楷体" w:hint="eastAsia"/>
          <w:color w:val="000000" w:themeColor="text1"/>
        </w:rPr>
        <w:t xml:space="preserve">2</w:t>
      </w:r>
      <w:r>
        <w:rPr>
          <w:rFonts w:ascii="Times New Roman" w:hAnsi="Times New Roman" w:cs="Times New Roman" w:eastAsia="楷体" w:hint="eastAsia"/>
          <w:color w:val="000000" w:themeColor="text1"/>
        </w:rPr>
        <w:t xml:space="preserve">）类型：</w:t>
      </w:r>
      <w:r>
        <w:rPr>
          <w:rFonts w:ascii="Times New Roman" w:hAnsi="Times New Roman" w:cs="Times New Roman" w:eastAsia="楷体" w:hint="eastAsia"/>
          <w:color w:val="000000" w:themeColor="text1"/>
        </w:rPr>
        <w:t xml:space="preserve">SCI</w:t>
      </w:r>
      <w:r>
        <w:rPr>
          <w:rFonts w:ascii="Times New Roman" w:hAnsi="Times New Roman" w:cs="Times New Roman" w:eastAsia="楷体" w:hint="eastAsia"/>
          <w:color w:val="000000" w:themeColor="text1"/>
        </w:rPr>
        <w:t xml:space="preserve">（</w:t>
      </w:r>
      <w:r>
        <w:rPr>
          <w:rFonts w:ascii="Times New Roman" w:hAnsi="Times New Roman" w:cs="Times New Roman" w:eastAsia="楷体" w:hint="eastAsia"/>
          <w:color w:val="000000" w:themeColor="text1"/>
        </w:rPr>
        <w:t xml:space="preserve">E</w:t>
      </w:r>
      <w:r>
        <w:rPr>
          <w:rFonts w:ascii="Times New Roman" w:hAnsi="Times New Roman" w:cs="Times New Roman" w:eastAsia="楷体" w:hint="eastAsia"/>
          <w:color w:val="000000" w:themeColor="text1"/>
        </w:rPr>
        <w:t xml:space="preserve">）收录论文、</w:t>
      </w:r>
      <w:r>
        <w:rPr>
          <w:rFonts w:ascii="Times New Roman" w:hAnsi="Times New Roman" w:cs="Times New Roman" w:eastAsia="楷体" w:hint="eastAsia"/>
          <w:color w:val="000000" w:themeColor="text1"/>
        </w:rPr>
        <w:t xml:space="preserve">SSCI</w:t>
      </w:r>
      <w:r>
        <w:rPr>
          <w:rFonts w:ascii="Times New Roman" w:hAnsi="Times New Roman" w:cs="Times New Roman" w:eastAsia="楷体" w:hint="eastAsia"/>
          <w:color w:val="000000" w:themeColor="text1"/>
        </w:rPr>
        <w:t xml:space="preserve">收录论文、</w:t>
      </w:r>
      <w:r>
        <w:rPr>
          <w:rFonts w:ascii="Times New Roman" w:hAnsi="Times New Roman" w:cs="Times New Roman" w:eastAsia="楷体" w:hint="eastAsia"/>
          <w:color w:val="000000" w:themeColor="text1"/>
        </w:rPr>
        <w:t xml:space="preserve">A&amp;HCL</w:t>
      </w:r>
      <w:r>
        <w:rPr>
          <w:rFonts w:ascii="Times New Roman" w:hAnsi="Times New Roman" w:cs="Times New Roman" w:eastAsia="楷体" w:hint="eastAsia"/>
          <w:color w:val="000000" w:themeColor="text1"/>
        </w:rPr>
        <w:t xml:space="preserve">收录论文、</w:t>
      </w:r>
      <w:r>
        <w:rPr>
          <w:rFonts w:ascii="Times New Roman" w:hAnsi="Times New Roman" w:cs="Times New Roman" w:eastAsia="楷体" w:hint="eastAsia"/>
          <w:color w:val="000000" w:themeColor="text1"/>
        </w:rPr>
        <w:t xml:space="preserve">EI Compendex</w:t>
      </w:r>
      <w:r>
        <w:rPr>
          <w:rFonts w:ascii="Times New Roman" w:hAnsi="Times New Roman" w:cs="Times New Roman" w:eastAsia="楷体" w:hint="eastAsia"/>
          <w:color w:val="000000" w:themeColor="text1"/>
        </w:rPr>
        <w:t xml:space="preserve">收录论文、北京大学中文核心期刊要目收录论文、南京大学中文社会科学引文索引期刊收录论文（</w:t>
      </w:r>
      <w:r>
        <w:rPr>
          <w:rFonts w:ascii="Times New Roman" w:hAnsi="Times New Roman" w:cs="Times New Roman" w:eastAsia="楷体" w:hint="eastAsia"/>
          <w:color w:val="000000" w:themeColor="text1"/>
        </w:rPr>
        <w:t xml:space="preserve">CSSCI</w:t>
      </w:r>
      <w:r>
        <w:rPr>
          <w:rFonts w:ascii="Times New Roman" w:hAnsi="Times New Roman" w:cs="Times New Roman" w:eastAsia="楷体" w:hint="eastAsia"/>
          <w:color w:val="000000" w:themeColor="text1"/>
        </w:rPr>
        <w:t xml:space="preserve">）、中国科学院中国科学引文数据库期刊收录论文（</w:t>
      </w:r>
      <w:r>
        <w:rPr>
          <w:rFonts w:ascii="Times New Roman" w:hAnsi="Times New Roman" w:cs="Times New Roman" w:eastAsia="楷体" w:hint="eastAsia"/>
          <w:color w:val="000000" w:themeColor="text1"/>
        </w:rPr>
        <w:t xml:space="preserve">CSCD</w:t>
      </w:r>
      <w:r>
        <w:rPr>
          <w:rFonts w:ascii="Times New Roman" w:hAnsi="Times New Roman" w:cs="Times New Roman" w:eastAsia="楷体" w:hint="eastAsia"/>
          <w:color w:val="000000" w:themeColor="text1"/>
        </w:rPr>
        <w:t xml:space="preserve">）、</w:t>
      </w:r>
      <w:r>
        <w:rPr>
          <w:rFonts w:ascii="楷体" w:hAnsi="楷体" w:cs="仿宋_GB2312" w:eastAsia="楷体" w:hint="eastAsia"/>
          <w:bCs/>
          <w:color w:val="000000" w:themeColor="text1"/>
        </w:rPr>
        <w:t xml:space="preserve">外文专著、中文专著；</w:t>
      </w:r>
      <w:r>
        <w:rPr>
          <w:rFonts w:ascii="Times New Roman" w:hAnsi="Times New Roman" w:cs="Times New Roman" w:eastAsia="楷体" w:hint="eastAsia"/>
          <w:color w:val="000000" w:themeColor="text1"/>
        </w:rPr>
        <w:t xml:space="preserve">国际会议论文集论文不予统计，</w:t>
      </w:r>
      <w:r>
        <w:rPr>
          <w:rFonts w:ascii="楷体" w:hAnsi="楷体" w:cs="仿宋_GB2312" w:eastAsia="楷体" w:hint="eastAsia"/>
          <w:color w:val="000000" w:themeColor="text1"/>
        </w:rPr>
        <w:t xml:space="preserve">可对国内发行的英文版学术期刊论文进行填报，但不得与中文版期刊同内容的论文重复。（3）</w:t>
      </w:r>
      <w:r>
        <w:rPr>
          <w:rFonts w:ascii="楷体" w:hAnsi="楷体" w:cs="仿宋_GB2312" w:eastAsia="楷体" w:hint="eastAsia"/>
          <w:bCs/>
          <w:color w:val="000000" w:themeColor="text1"/>
        </w:rPr>
        <w:t xml:space="preserve">外文专著：</w:t>
      </w:r>
      <w:r>
        <w:rPr>
          <w:rFonts w:ascii="楷体" w:hAnsi="楷体" w:cs="仿宋_GB2312" w:eastAsia="楷体" w:hint="eastAsia"/>
          <w:color w:val="000000" w:themeColor="text1"/>
        </w:rPr>
        <w:t xml:space="preserve">正式出版的学术著作。（4）</w:t>
      </w:r>
      <w:r>
        <w:rPr>
          <w:rFonts w:ascii="楷体" w:hAnsi="楷体" w:cs="仿宋_GB2312" w:eastAsia="楷体" w:hint="eastAsia"/>
          <w:bCs/>
          <w:color w:val="000000" w:themeColor="text1"/>
        </w:rPr>
        <w:t xml:space="preserve">中文专著：</w:t>
      </w:r>
      <w:r>
        <w:rPr>
          <w:rFonts w:ascii="楷体" w:hAnsi="楷体" w:cs="仿宋_GB2312" w:eastAsia="楷体" w:hint="eastAsia"/>
          <w:color w:val="000000" w:themeColor="text1"/>
        </w:rPr>
        <w:t xml:space="preserve">正式出版的学术著作，不包括译著、实验室年报、论文集等。（5）</w:t>
      </w:r>
      <w:r>
        <w:rPr>
          <w:rFonts w:ascii="楷体" w:hAnsi="楷体" w:cs="仿宋_GB2312" w:eastAsia="楷体" w:hint="eastAsia"/>
          <w:bCs/>
          <w:color w:val="000000" w:themeColor="text1"/>
        </w:rPr>
        <w:t xml:space="preserve">作者：</w:t>
      </w:r>
      <w:r>
        <w:rPr>
          <w:rFonts w:ascii="楷体" w:hAnsi="楷体" w:cs="仿宋_GB2312" w:eastAsia="楷体" w:hint="eastAsia"/>
          <w:color w:val="000000" w:themeColor="text1"/>
        </w:rPr>
        <w:t xml:space="preserve">所有作者，以出版物排序为准。</w:t>
      </w:r>
      <w:r/>
    </w:p>
    <w:p>
      <w:pPr>
        <w:ind w:firstLine="480"/>
        <w:spacing w:after="163" w:before="163"/>
        <w:rPr>
          <w:rFonts w:ascii="黑体" w:hAnsi="黑体" w:eastAsia="黑体"/>
        </w:rPr>
      </w:pPr>
      <w:r>
        <w:rPr>
          <w:rFonts w:ascii="黑体" w:hAnsi="黑体" w:cs="仿宋_GB2312" w:eastAsia="黑体" w:hint="eastAsia"/>
        </w:rPr>
        <w:t xml:space="preserve">3.仪器设备的研制和改装情况</w:t>
      </w:r>
      <w:r/>
    </w:p>
    <w:tbl>
      <w:tblPr>
        <w:tblW w:w="8516" w:type="dxa"/>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698"/>
        <w:gridCol w:w="1397"/>
        <w:gridCol w:w="1132"/>
        <w:gridCol w:w="2273"/>
        <w:gridCol w:w="1621"/>
        <w:gridCol w:w="1395"/>
      </w:tblGrid>
      <w:tr>
        <w:trPr>
          <w:trHeight w:val="862"/>
        </w:trPr>
        <w:tc>
          <w:tcPr>
            <w:tcW w:w="698"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序号</w:t>
            </w:r>
            <w:r/>
          </w:p>
        </w:tc>
        <w:tc>
          <w:tcPr>
            <w:tcW w:w="1397"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仪器设</w:t>
            </w:r>
            <w:r/>
          </w:p>
          <w:p>
            <w:pPr>
              <w:jc w:val="center"/>
              <w:rPr>
                <w:rFonts w:ascii="黑体" w:hAnsi="黑体" w:cs="宋体" w:eastAsia="黑体"/>
              </w:rPr>
            </w:pPr>
            <w:r>
              <w:rPr>
                <w:rFonts w:ascii="黑体" w:hAnsi="黑体" w:cs="宋体" w:eastAsia="黑体" w:hint="eastAsia"/>
              </w:rPr>
              <w:t xml:space="preserve">备名称</w:t>
            </w:r>
            <w:r/>
          </w:p>
        </w:tc>
        <w:tc>
          <w:tcPr>
            <w:tcW w:w="1132"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自制或</w:t>
            </w:r>
            <w:r/>
          </w:p>
          <w:p>
            <w:pPr>
              <w:jc w:val="center"/>
              <w:rPr>
                <w:rFonts w:ascii="黑体" w:hAnsi="黑体" w:cs="宋体" w:eastAsia="黑体"/>
              </w:rPr>
            </w:pPr>
            <w:r>
              <w:rPr>
                <w:rFonts w:ascii="黑体" w:hAnsi="黑体" w:cs="宋体" w:eastAsia="黑体" w:hint="eastAsia"/>
              </w:rPr>
              <w:t xml:space="preserve">改装</w:t>
            </w:r>
            <w:r/>
          </w:p>
        </w:tc>
        <w:tc>
          <w:tcPr>
            <w:tcW w:w="2273" w:type="dxa"/>
            <w:vAlign w:val="center"/>
            <w:textDirection w:val="lrTb"/>
            <w:noWrap w:val="false"/>
          </w:tcPr>
          <w:p>
            <w:pPr>
              <w:ind w:left="-120" w:right="-120"/>
              <w:jc w:val="center"/>
              <w:rPr>
                <w:rFonts w:ascii="黑体" w:hAnsi="黑体" w:cs="宋体" w:eastAsia="黑体"/>
              </w:rPr>
            </w:pPr>
            <w:r>
              <w:rPr>
                <w:rFonts w:ascii="黑体" w:hAnsi="黑体" w:cs="宋体" w:eastAsia="黑体" w:hint="eastAsia"/>
              </w:rPr>
              <w:t xml:space="preserve">开发的功能和用途</w:t>
            </w:r>
            <w:r/>
          </w:p>
          <w:p>
            <w:pPr>
              <w:jc w:val="center"/>
              <w:rPr>
                <w:rFonts w:ascii="黑体" w:hAnsi="黑体" w:cs="宋体" w:eastAsia="黑体"/>
              </w:rPr>
            </w:pPr>
            <w:r>
              <w:rPr>
                <w:rFonts w:ascii="黑体" w:hAnsi="黑体" w:cs="宋体" w:eastAsia="黑体" w:hint="eastAsia"/>
              </w:rPr>
              <w:t xml:space="preserve">（限100字以内）</w:t>
            </w:r>
            <w:r/>
          </w:p>
        </w:tc>
        <w:tc>
          <w:tcPr>
            <w:tcW w:w="1621"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研究成果</w:t>
            </w:r>
            <w:r/>
          </w:p>
          <w:p>
            <w:pPr>
              <w:ind w:left="-240" w:right="-120"/>
              <w:jc w:val="center"/>
              <w:rPr>
                <w:rFonts w:ascii="黑体" w:hAnsi="黑体" w:cs="宋体" w:eastAsia="黑体"/>
              </w:rPr>
            </w:pPr>
            <w:r>
              <w:rPr>
                <w:rFonts w:ascii="黑体" w:hAnsi="黑体" w:cs="宋体" w:eastAsia="黑体" w:hint="eastAsia"/>
              </w:rPr>
              <w:t xml:space="preserve">（限100字以内）</w:t>
            </w:r>
            <w:r/>
          </w:p>
        </w:tc>
        <w:tc>
          <w:tcPr>
            <w:tcW w:w="1395"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推广和应用的高校</w:t>
            </w:r>
            <w:r/>
          </w:p>
        </w:tc>
      </w:tr>
      <w:tr>
        <w:trPr>
          <w:trHeight w:val="457"/>
        </w:trPr>
        <w:tc>
          <w:tcPr>
            <w:tcW w:w="698" w:type="dxa"/>
            <w:vAlign w:val="center"/>
            <w:textDirection w:val="lrTb"/>
            <w:noWrap w:val="false"/>
          </w:tcPr>
          <w:p>
            <w:pPr>
              <w:jc w:val="center"/>
              <w:rPr>
                <w:rFonts w:ascii="楷体" w:hAnsi="楷体" w:eastAsia="楷体"/>
              </w:rPr>
            </w:pPr>
            <w:r>
              <w:rPr>
                <w:rFonts w:ascii="楷体" w:hAnsi="楷体" w:eastAsia="楷体" w:hint="eastAsia"/>
              </w:rPr>
              <w:t xml:space="preserve">1</w:t>
            </w:r>
            <w:r/>
          </w:p>
        </w:tc>
        <w:tc>
          <w:tcPr>
            <w:tcW w:w="1397" w:type="dxa"/>
            <w:textDirection w:val="lrTb"/>
            <w:noWrap w:val="false"/>
          </w:tcPr>
          <w:p>
            <w:pPr>
              <w:jc w:val="center"/>
              <w:rPr>
                <w:rFonts w:ascii="仿宋" w:hAnsi="仿宋" w:eastAsia="仿宋"/>
              </w:rPr>
            </w:pPr>
            <w:r>
              <w:rPr>
                <w:rFonts w:ascii="仿宋" w:hAnsi="仿宋" w:eastAsia="仿宋"/>
              </w:rPr>
            </w:r>
            <w:r/>
          </w:p>
        </w:tc>
        <w:tc>
          <w:tcPr>
            <w:tcW w:w="1132" w:type="dxa"/>
            <w:textDirection w:val="lrTb"/>
            <w:noWrap w:val="false"/>
          </w:tcPr>
          <w:p>
            <w:pPr>
              <w:jc w:val="center"/>
              <w:rPr>
                <w:rFonts w:ascii="仿宋" w:hAnsi="仿宋" w:eastAsia="仿宋"/>
              </w:rPr>
            </w:pPr>
            <w:r>
              <w:rPr>
                <w:rFonts w:ascii="仿宋" w:hAnsi="仿宋" w:eastAsia="仿宋"/>
              </w:rPr>
            </w:r>
            <w:r/>
          </w:p>
        </w:tc>
        <w:tc>
          <w:tcPr>
            <w:tcW w:w="2273" w:type="dxa"/>
            <w:textDirection w:val="lrTb"/>
            <w:noWrap w:val="false"/>
          </w:tcPr>
          <w:p>
            <w:pPr>
              <w:rPr>
                <w:rFonts w:ascii="仿宋" w:hAnsi="仿宋" w:eastAsia="仿宋"/>
              </w:rPr>
            </w:pPr>
            <w:r>
              <w:rPr>
                <w:rFonts w:ascii="仿宋" w:hAnsi="仿宋" w:eastAsia="仿宋"/>
              </w:rPr>
            </w:r>
            <w:r/>
          </w:p>
        </w:tc>
        <w:tc>
          <w:tcPr>
            <w:tcW w:w="1621" w:type="dxa"/>
            <w:textDirection w:val="lrTb"/>
            <w:noWrap w:val="false"/>
          </w:tcPr>
          <w:p>
            <w:pPr>
              <w:jc w:val="center"/>
              <w:rPr>
                <w:rFonts w:ascii="仿宋" w:hAnsi="仿宋" w:eastAsia="仿宋"/>
              </w:rPr>
            </w:pPr>
            <w:r>
              <w:rPr>
                <w:rFonts w:ascii="仿宋" w:hAnsi="仿宋" w:eastAsia="仿宋"/>
              </w:rPr>
            </w:r>
            <w:r/>
          </w:p>
        </w:tc>
        <w:tc>
          <w:tcPr>
            <w:tcW w:w="1395" w:type="dxa"/>
            <w:textDirection w:val="lrTb"/>
            <w:noWrap w:val="false"/>
          </w:tcPr>
          <w:p>
            <w:pPr>
              <w:jc w:val="center"/>
              <w:rPr>
                <w:rFonts w:ascii="仿宋" w:hAnsi="仿宋" w:eastAsia="仿宋"/>
                <w:sz w:val="28"/>
                <w:szCs w:val="28"/>
              </w:rPr>
            </w:pPr>
            <w:r>
              <w:rPr>
                <w:rFonts w:ascii="仿宋" w:hAnsi="仿宋" w:eastAsia="仿宋"/>
                <w:sz w:val="28"/>
                <w:szCs w:val="28"/>
              </w:rPr>
            </w:r>
            <w:r/>
          </w:p>
        </w:tc>
      </w:tr>
      <w:tr>
        <w:trPr>
          <w:trHeight w:val="457"/>
        </w:trPr>
        <w:tc>
          <w:tcPr>
            <w:tcW w:w="698" w:type="dxa"/>
            <w:vAlign w:val="center"/>
            <w:textDirection w:val="lrTb"/>
            <w:noWrap w:val="false"/>
          </w:tcPr>
          <w:p>
            <w:pPr>
              <w:jc w:val="center"/>
              <w:rPr>
                <w:rFonts w:ascii="楷体" w:hAnsi="楷体" w:eastAsia="楷体"/>
              </w:rPr>
            </w:pPr>
            <w:r>
              <w:rPr>
                <w:rFonts w:ascii="楷体" w:hAnsi="楷体" w:eastAsia="楷体" w:hint="eastAsia"/>
              </w:rPr>
              <w:t xml:space="preserve">2</w:t>
            </w:r>
            <w:r/>
          </w:p>
        </w:tc>
        <w:tc>
          <w:tcPr>
            <w:tcW w:w="1397"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132"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2273" w:type="dxa"/>
            <w:textDirection w:val="lrTb"/>
            <w:noWrap w:val="false"/>
          </w:tcPr>
          <w:p>
            <w:pPr>
              <w:rPr>
                <w:rFonts w:ascii="仿宋" w:hAnsi="仿宋" w:eastAsia="仿宋"/>
                <w:sz w:val="28"/>
                <w:szCs w:val="28"/>
              </w:rPr>
            </w:pPr>
            <w:r>
              <w:rPr>
                <w:rFonts w:ascii="仿宋" w:hAnsi="仿宋" w:eastAsia="仿宋"/>
                <w:sz w:val="28"/>
                <w:szCs w:val="28"/>
              </w:rPr>
            </w:r>
            <w:r/>
          </w:p>
        </w:tc>
        <w:tc>
          <w:tcPr>
            <w:tcW w:w="1621"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395" w:type="dxa"/>
            <w:textDirection w:val="lrTb"/>
            <w:noWrap w:val="false"/>
          </w:tcPr>
          <w:p>
            <w:pPr>
              <w:jc w:val="center"/>
              <w:rPr>
                <w:rFonts w:ascii="仿宋" w:hAnsi="仿宋" w:eastAsia="仿宋"/>
                <w:sz w:val="28"/>
                <w:szCs w:val="28"/>
              </w:rPr>
            </w:pPr>
            <w:r>
              <w:rPr>
                <w:rFonts w:ascii="仿宋" w:hAnsi="仿宋" w:eastAsia="仿宋"/>
                <w:sz w:val="28"/>
                <w:szCs w:val="28"/>
              </w:rPr>
            </w:r>
            <w:r/>
          </w:p>
        </w:tc>
      </w:tr>
      <w:tr>
        <w:trPr>
          <w:trHeight w:val="457"/>
        </w:trPr>
        <w:tc>
          <w:tcPr>
            <w:tcW w:w="698" w:type="dxa"/>
            <w:vAlign w:val="center"/>
            <w:textDirection w:val="lrTb"/>
            <w:noWrap w:val="false"/>
          </w:tcPr>
          <w:p>
            <w:pPr>
              <w:jc w:val="center"/>
              <w:rPr>
                <w:rFonts w:ascii="楷体" w:hAnsi="楷体" w:eastAsia="楷体"/>
              </w:rPr>
            </w:pPr>
            <w:r>
              <w:rPr>
                <w:rFonts w:ascii="楷体" w:hAnsi="楷体" w:eastAsia="楷体"/>
              </w:rPr>
              <w:t xml:space="preserve">…</w:t>
            </w:r>
            <w:r/>
          </w:p>
        </w:tc>
        <w:tc>
          <w:tcPr>
            <w:tcW w:w="1397"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132"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2273"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621"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395" w:type="dxa"/>
            <w:textDirection w:val="lrTb"/>
            <w:noWrap w:val="false"/>
          </w:tcPr>
          <w:p>
            <w:pPr>
              <w:jc w:val="center"/>
              <w:rPr>
                <w:rFonts w:ascii="仿宋" w:hAnsi="仿宋" w:eastAsia="仿宋"/>
                <w:sz w:val="28"/>
                <w:szCs w:val="28"/>
              </w:rPr>
            </w:pPr>
            <w:r>
              <w:rPr>
                <w:rFonts w:ascii="仿宋" w:hAnsi="仿宋" w:eastAsia="仿宋"/>
                <w:sz w:val="28"/>
                <w:szCs w:val="28"/>
              </w:rPr>
            </w:r>
            <w:r/>
          </w:p>
        </w:tc>
      </w:tr>
    </w:tbl>
    <w:p>
      <w:pPr>
        <w:ind w:firstLine="480"/>
        <w:spacing w:before="163"/>
        <w:rPr>
          <w:rFonts w:ascii="楷体" w:hAnsi="楷体" w:eastAsia="楷体"/>
        </w:rPr>
      </w:pPr>
      <w:r>
        <w:rPr>
          <w:rFonts w:ascii="楷体" w:hAnsi="楷体" w:cs="仿宋_GB2312" w:eastAsia="楷体" w:hint="eastAsia"/>
          <w:bCs/>
        </w:rPr>
        <w:t xml:space="preserve">注：（1）自制：</w:t>
      </w:r>
      <w:r>
        <w:rPr>
          <w:rFonts w:ascii="楷体" w:hAnsi="楷体" w:cs="仿宋_GB2312" w:eastAsia="楷体" w:hint="eastAsia"/>
        </w:rPr>
        <w:t xml:space="preserve">实验室自行研制的仪器设备。（2）</w:t>
      </w:r>
      <w:r>
        <w:rPr>
          <w:rFonts w:ascii="楷体" w:hAnsi="楷体" w:cs="仿宋_GB2312" w:eastAsia="楷体" w:hint="eastAsia"/>
          <w:bCs/>
        </w:rPr>
        <w:t xml:space="preserve">改装：</w:t>
      </w:r>
      <w:r>
        <w:rPr>
          <w:rFonts w:ascii="楷体" w:hAnsi="楷体" w:cs="仿宋_GB2312" w:eastAsia="楷体" w:hint="eastAsia"/>
        </w:rPr>
        <w:t xml:space="preserve">对购置的仪器设备进行改装，赋予其新的功能和用途。（3）</w:t>
      </w:r>
      <w:r>
        <w:rPr>
          <w:rFonts w:ascii="楷体" w:hAnsi="楷体" w:cs="仿宋_GB2312" w:eastAsia="楷体" w:hint="eastAsia"/>
          <w:bCs/>
        </w:rPr>
        <w:t xml:space="preserve">研究成果：</w:t>
      </w:r>
      <w:r>
        <w:rPr>
          <w:rFonts w:ascii="楷体" w:hAnsi="楷体" w:cs="仿宋_GB2312" w:eastAsia="楷体" w:hint="eastAsia"/>
        </w:rPr>
        <w:t xml:space="preserve">用新研制或改装的仪器设备进行研究的创新性成果，列举</w:t>
      </w:r>
      <w:r>
        <w:rPr>
          <w:rFonts w:ascii="楷体" w:hAnsi="楷体" w:eastAsia="楷体" w:hint="eastAsia"/>
        </w:rPr>
        <w:t xml:space="preserve">1－2</w:t>
      </w:r>
      <w:r>
        <w:rPr>
          <w:rFonts w:ascii="楷体" w:hAnsi="楷体" w:cs="仿宋_GB2312" w:eastAsia="楷体" w:hint="eastAsia"/>
        </w:rPr>
        <w:t xml:space="preserve">项。</w:t>
      </w:r>
      <w:r/>
    </w:p>
    <w:p>
      <w:pPr>
        <w:ind w:firstLine="480"/>
        <w:spacing w:after="163" w:before="163"/>
        <w:rPr>
          <w:rFonts w:ascii="黑体" w:hAnsi="黑体" w:cs="仿宋_GB2312" w:eastAsia="黑体"/>
        </w:rPr>
      </w:pPr>
      <w:r>
        <w:rPr>
          <w:rFonts w:ascii="黑体" w:hAnsi="黑体" w:cs="仿宋_GB2312" w:eastAsia="黑体"/>
        </w:rPr>
      </w:r>
      <w:r/>
    </w:p>
    <w:p>
      <w:pPr>
        <w:ind w:firstLine="480"/>
        <w:spacing w:after="163" w:before="163"/>
        <w:rPr>
          <w:rFonts w:ascii="黑体" w:hAnsi="黑体" w:cs="仿宋_GB2312" w:eastAsia="黑体"/>
        </w:rPr>
      </w:pPr>
      <w:r>
        <w:rPr>
          <w:rFonts w:ascii="黑体" w:hAnsi="黑体" w:cs="仿宋_GB2312" w:eastAsia="黑体"/>
        </w:rPr>
      </w:r>
      <w:r/>
    </w:p>
    <w:p>
      <w:pPr>
        <w:ind w:firstLine="480"/>
        <w:spacing w:after="163" w:before="163"/>
        <w:rPr>
          <w:rFonts w:ascii="黑体" w:hAnsi="黑体" w:cs="仿宋_GB2312" w:eastAsia="黑体"/>
        </w:rPr>
      </w:pPr>
      <w:r>
        <w:rPr>
          <w:rFonts w:ascii="黑体" w:hAnsi="黑体" w:cs="仿宋_GB2312" w:eastAsia="黑体" w:hint="eastAsia"/>
        </w:rPr>
        <w:t xml:space="preserve">4.其它成果情况</w:t>
      </w:r>
      <w:r/>
    </w:p>
    <w:tbl>
      <w:tblPr>
        <w:tblW w:w="8516" w:type="dxa"/>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4558"/>
        <w:gridCol w:w="3958"/>
      </w:tblGrid>
      <w:tr>
        <w:trPr>
          <w:trHeight w:val="481"/>
        </w:trPr>
        <w:tc>
          <w:tcPr>
            <w:shd w:val="clear" w:color="auto" w:fill="auto"/>
            <w:tcW w:w="4558"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名称</w:t>
            </w:r>
            <w:r/>
          </w:p>
        </w:tc>
        <w:tc>
          <w:tcPr>
            <w:shd w:val="clear" w:color="auto" w:fill="auto"/>
            <w:tcW w:w="3958" w:type="dxa"/>
            <w:vAlign w:val="center"/>
            <w:textDirection w:val="lrTb"/>
            <w:noWrap w:val="false"/>
          </w:tcPr>
          <w:p>
            <w:pPr>
              <w:jc w:val="center"/>
              <w:rPr>
                <w:rFonts w:ascii="黑体" w:hAnsi="黑体" w:cs="宋体" w:eastAsia="黑体"/>
              </w:rPr>
            </w:pPr>
            <w:r>
              <w:rPr>
                <w:rFonts w:ascii="黑体" w:hAnsi="黑体" w:cs="宋体" w:eastAsia="黑体" w:hint="eastAsia"/>
              </w:rPr>
              <w:t xml:space="preserve">数量</w:t>
            </w:r>
            <w:r/>
          </w:p>
        </w:tc>
      </w:tr>
      <w:tr>
        <w:trPr>
          <w:trHeight w:val="481"/>
        </w:trPr>
        <w:tc>
          <w:tcPr>
            <w:shd w:val="clear" w:color="auto" w:fill="auto"/>
            <w:tcW w:w="4558" w:type="dxa"/>
            <w:vAlign w:val="center"/>
            <w:textDirection w:val="lrTb"/>
            <w:noWrap w:val="false"/>
          </w:tcPr>
          <w:p>
            <w:pPr>
              <w:jc w:val="center"/>
              <w:rPr>
                <w:rFonts w:ascii="楷体" w:hAnsi="楷体" w:cs="仿宋_GB2312" w:eastAsia="楷体"/>
              </w:rPr>
            </w:pPr>
            <w:r>
              <w:rPr>
                <w:rFonts w:ascii="楷体" w:hAnsi="楷体" w:cs="仿宋_GB2312" w:eastAsia="楷体" w:hint="eastAsia"/>
              </w:rPr>
              <w:t xml:space="preserve">国内会议论文数</w:t>
            </w:r>
            <w:r/>
          </w:p>
        </w:tc>
        <w:tc>
          <w:tcPr>
            <w:shd w:val="clear" w:color="auto" w:fill="auto"/>
            <w:tcW w:w="3958" w:type="dxa"/>
            <w:vAlign w:val="center"/>
            <w:textDirection w:val="lrTb"/>
            <w:noWrap w:val="false"/>
          </w:tcPr>
          <w:p>
            <w:pPr>
              <w:jc w:val="right"/>
              <w:rPr>
                <w:rFonts w:ascii="楷体" w:hAnsi="楷体" w:cs="仿宋_GB2312" w:eastAsia="楷体"/>
              </w:rPr>
            </w:pPr>
            <w:r>
              <w:rPr>
                <w:rFonts w:ascii="楷体" w:hAnsi="楷体" w:cs="仿宋_GB2312" w:eastAsia="楷体" w:hint="eastAsia"/>
              </w:rPr>
              <w:t xml:space="preserve">篇</w:t>
            </w:r>
            <w:r/>
          </w:p>
        </w:tc>
      </w:tr>
      <w:tr>
        <w:trPr>
          <w:trHeight w:val="481"/>
        </w:trPr>
        <w:tc>
          <w:tcPr>
            <w:shd w:val="clear" w:color="auto" w:fill="auto"/>
            <w:tcW w:w="4558" w:type="dxa"/>
            <w:vAlign w:val="center"/>
            <w:textDirection w:val="lrTb"/>
            <w:noWrap w:val="false"/>
          </w:tcPr>
          <w:p>
            <w:pPr>
              <w:jc w:val="center"/>
              <w:rPr>
                <w:rFonts w:ascii="楷体" w:hAnsi="楷体" w:cs="仿宋_GB2312" w:eastAsia="楷体"/>
              </w:rPr>
            </w:pPr>
            <w:r>
              <w:rPr>
                <w:rFonts w:ascii="楷体" w:hAnsi="楷体" w:cs="仿宋_GB2312" w:eastAsia="楷体" w:hint="eastAsia"/>
              </w:rPr>
              <w:t xml:space="preserve">国际会议论文数</w:t>
            </w:r>
            <w:r/>
          </w:p>
        </w:tc>
        <w:tc>
          <w:tcPr>
            <w:shd w:val="clear" w:color="auto" w:fill="auto"/>
            <w:tcW w:w="3958" w:type="dxa"/>
            <w:vAlign w:val="center"/>
            <w:textDirection w:val="lrTb"/>
            <w:noWrap w:val="false"/>
          </w:tcPr>
          <w:p>
            <w:pPr>
              <w:jc w:val="right"/>
              <w:rPr>
                <w:rFonts w:ascii="楷体" w:hAnsi="楷体" w:cs="仿宋_GB2312" w:eastAsia="楷体"/>
              </w:rPr>
            </w:pPr>
            <w:r>
              <w:rPr>
                <w:rFonts w:ascii="楷体" w:hAnsi="楷体" w:cs="仿宋_GB2312" w:eastAsia="楷体"/>
              </w:rPr>
              <w:t xml:space="preserve">0</w:t>
            </w:r>
            <w:r>
              <w:rPr>
                <w:rFonts w:ascii="楷体" w:hAnsi="楷体" w:cs="仿宋_GB2312" w:eastAsia="楷体" w:hint="eastAsia"/>
              </w:rPr>
              <w:t xml:space="preserve">篇</w:t>
            </w:r>
            <w:r/>
          </w:p>
        </w:tc>
      </w:tr>
      <w:tr>
        <w:trPr>
          <w:trHeight w:val="481"/>
        </w:trPr>
        <w:tc>
          <w:tcPr>
            <w:shd w:val="clear" w:color="auto" w:fill="auto"/>
            <w:tcW w:w="4558" w:type="dxa"/>
            <w:vAlign w:val="center"/>
            <w:textDirection w:val="lrTb"/>
            <w:noWrap w:val="false"/>
          </w:tcPr>
          <w:p>
            <w:pPr>
              <w:jc w:val="center"/>
              <w:rPr>
                <w:rFonts w:ascii="楷体" w:hAnsi="楷体" w:cs="仿宋_GB2312" w:eastAsia="楷体"/>
              </w:rPr>
            </w:pPr>
            <w:r>
              <w:rPr>
                <w:rFonts w:ascii="楷体" w:hAnsi="楷体" w:cs="仿宋_GB2312" w:eastAsia="楷体" w:hint="eastAsia"/>
              </w:rPr>
              <w:t xml:space="preserve">国内一般刊物发表论文数</w:t>
            </w:r>
            <w:r/>
          </w:p>
        </w:tc>
        <w:tc>
          <w:tcPr>
            <w:shd w:val="clear" w:color="auto" w:fill="auto"/>
            <w:tcW w:w="3958" w:type="dxa"/>
            <w:vAlign w:val="center"/>
            <w:textDirection w:val="lrTb"/>
            <w:noWrap w:val="false"/>
          </w:tcPr>
          <w:p>
            <w:pPr>
              <w:jc w:val="right"/>
              <w:rPr>
                <w:rFonts w:ascii="楷体" w:hAnsi="楷体" w:cs="仿宋_GB2312" w:eastAsia="楷体"/>
              </w:rPr>
            </w:pPr>
            <w:r>
              <w:rPr>
                <w:rFonts w:ascii="楷体" w:hAnsi="楷体" w:cs="仿宋_GB2312" w:eastAsia="楷体" w:hint="eastAsia"/>
              </w:rPr>
              <w:t xml:space="preserve">6篇</w:t>
            </w:r>
            <w:r/>
          </w:p>
        </w:tc>
      </w:tr>
      <w:tr>
        <w:trPr>
          <w:trHeight w:val="481"/>
        </w:trPr>
        <w:tc>
          <w:tcPr>
            <w:shd w:val="clear" w:color="auto" w:fill="auto"/>
            <w:tcW w:w="4558" w:type="dxa"/>
            <w:vAlign w:val="center"/>
            <w:textDirection w:val="lrTb"/>
            <w:noWrap w:val="false"/>
          </w:tcPr>
          <w:p>
            <w:pPr>
              <w:jc w:val="center"/>
              <w:rPr>
                <w:rFonts w:ascii="楷体" w:hAnsi="楷体" w:cs="仿宋_GB2312" w:eastAsia="楷体"/>
              </w:rPr>
            </w:pPr>
            <w:r>
              <w:rPr>
                <w:rFonts w:ascii="楷体" w:hAnsi="楷体" w:cs="仿宋_GB2312" w:eastAsia="楷体" w:hint="eastAsia"/>
              </w:rPr>
              <w:t xml:space="preserve">省部委奖数</w:t>
            </w:r>
            <w:r/>
          </w:p>
        </w:tc>
        <w:tc>
          <w:tcPr>
            <w:shd w:val="clear" w:color="auto" w:fill="auto"/>
            <w:tcW w:w="3958" w:type="dxa"/>
            <w:vAlign w:val="center"/>
            <w:textDirection w:val="lrTb"/>
            <w:noWrap w:val="false"/>
          </w:tcPr>
          <w:p>
            <w:pPr>
              <w:jc w:val="right"/>
              <w:rPr>
                <w:rFonts w:ascii="楷体" w:hAnsi="楷体" w:cs="仿宋_GB2312" w:eastAsia="楷体"/>
              </w:rPr>
            </w:pPr>
            <w:r>
              <w:rPr>
                <w:rFonts w:ascii="楷体" w:hAnsi="楷体" w:cs="仿宋_GB2312" w:eastAsia="楷体" w:hint="eastAsia"/>
              </w:rPr>
              <w:t xml:space="preserve">1项</w:t>
            </w:r>
            <w:r/>
          </w:p>
        </w:tc>
      </w:tr>
      <w:tr>
        <w:trPr>
          <w:trHeight w:val="481"/>
        </w:trPr>
        <w:tc>
          <w:tcPr>
            <w:shd w:val="clear" w:color="auto" w:fill="auto"/>
            <w:tcW w:w="4558" w:type="dxa"/>
            <w:vAlign w:val="center"/>
            <w:textDirection w:val="lrTb"/>
            <w:noWrap w:val="false"/>
          </w:tcPr>
          <w:p>
            <w:pPr>
              <w:jc w:val="center"/>
              <w:rPr>
                <w:rFonts w:ascii="楷体" w:hAnsi="楷体" w:cs="仿宋_GB2312" w:eastAsia="楷体"/>
              </w:rPr>
            </w:pPr>
            <w:r>
              <w:rPr>
                <w:rFonts w:ascii="楷体" w:hAnsi="楷体" w:cs="仿宋_GB2312" w:eastAsia="楷体" w:hint="eastAsia"/>
              </w:rPr>
              <w:t xml:space="preserve">其它奖数</w:t>
            </w:r>
            <w:r/>
          </w:p>
        </w:tc>
        <w:tc>
          <w:tcPr>
            <w:shd w:val="clear" w:color="auto" w:fill="auto"/>
            <w:tcW w:w="3958" w:type="dxa"/>
            <w:vAlign w:val="center"/>
            <w:textDirection w:val="lrTb"/>
            <w:noWrap w:val="false"/>
          </w:tcPr>
          <w:p>
            <w:pPr>
              <w:jc w:val="right"/>
              <w:rPr>
                <w:rFonts w:ascii="楷体" w:hAnsi="楷体" w:cs="仿宋_GB2312" w:eastAsia="楷体"/>
              </w:rPr>
            </w:pPr>
            <w:r>
              <w:rPr>
                <w:rFonts w:ascii="楷体" w:hAnsi="楷体" w:cs="仿宋_GB2312" w:eastAsia="楷体" w:hint="eastAsia"/>
              </w:rPr>
              <w:t xml:space="preserve">2项</w:t>
            </w:r>
            <w:r/>
          </w:p>
        </w:tc>
      </w:tr>
    </w:tbl>
    <w:p>
      <w:pPr>
        <w:ind w:firstLine="480"/>
        <w:spacing w:before="163"/>
        <w:rPr>
          <w:rFonts w:ascii="楷体" w:hAnsi="楷体" w:cs="仿宋_GB2312" w:eastAsia="楷体"/>
          <w:color w:val="44546A"/>
        </w:rPr>
      </w:pPr>
      <w:r>
        <w:rPr>
          <w:rFonts w:ascii="楷体" w:hAnsi="楷体" w:cs="仿宋_GB2312" w:eastAsia="楷体" w:hint="eastAsia"/>
          <w:bCs/>
          <w:color w:val="44546A" w:themeColor="text2"/>
        </w:rPr>
        <w:t xml:space="preserve">注：国内一般刊物：</w:t>
      </w:r>
      <w:r>
        <w:rPr>
          <w:rFonts w:ascii="楷体" w:hAnsi="楷体" w:cs="仿宋_GB2312" w:eastAsia="楷体" w:hint="eastAsia"/>
          <w:color w:val="000000" w:themeColor="text1"/>
        </w:rPr>
        <w:t xml:space="preserve">除“（三）2”以外的其他国内刊物，</w:t>
      </w:r>
      <w:r>
        <w:rPr>
          <w:rFonts w:ascii="楷体" w:hAnsi="楷体" w:cs="仿宋_GB2312" w:eastAsia="楷体" w:hint="eastAsia"/>
          <w:color w:val="44546A" w:themeColor="text2"/>
        </w:rPr>
        <w:t xml:space="preserve">只填汇总数量。 </w:t>
      </w:r>
      <w:r/>
    </w:p>
    <w:p>
      <w:pPr>
        <w:spacing w:before="163"/>
        <w:rPr>
          <w:rFonts w:ascii="黑体" w:hAnsi="黑体" w:eastAsia="黑体"/>
          <w:b/>
          <w:sz w:val="32"/>
          <w:szCs w:val="32"/>
        </w:rPr>
      </w:pPr>
      <w:r>
        <w:rPr>
          <w:rFonts w:ascii="仿宋" w:hAnsi="仿宋" w:eastAsia="仿宋" w:hint="eastAsia"/>
          <w:b/>
          <w:sz w:val="28"/>
          <w:szCs w:val="28"/>
        </w:rPr>
        <w:t xml:space="preserve">    </w:t>
      </w:r>
      <w:r>
        <w:rPr>
          <w:rFonts w:ascii="黑体" w:hAnsi="黑体" w:eastAsia="黑体" w:hint="eastAsia"/>
          <w:b/>
          <w:sz w:val="32"/>
          <w:szCs w:val="32"/>
        </w:rPr>
        <w:t xml:space="preserve">五、</w:t>
      </w:r>
      <w:r>
        <w:rPr>
          <w:rFonts w:ascii="黑体" w:hAnsi="黑体" w:cs="仿宋_GB2312" w:eastAsia="黑体" w:hint="eastAsia"/>
          <w:b/>
          <w:sz w:val="32"/>
          <w:szCs w:val="32"/>
        </w:rPr>
        <w:t xml:space="preserve">信息化建设、开放运行和示范辐射情况</w:t>
      </w:r>
      <w:r/>
    </w:p>
    <w:p>
      <w:pPr>
        <w:ind w:firstLine="560"/>
        <w:spacing w:after="163"/>
        <w:rPr>
          <w:rFonts w:ascii="黑体" w:hAnsi="黑体" w:eastAsia="黑体"/>
          <w:sz w:val="28"/>
          <w:szCs w:val="28"/>
        </w:rPr>
      </w:pPr>
      <w:r>
        <w:rPr>
          <w:rFonts w:ascii="黑体" w:hAnsi="黑体" w:eastAsia="黑体" w:hint="eastAsia"/>
          <w:sz w:val="28"/>
          <w:szCs w:val="28"/>
        </w:rPr>
        <w:t xml:space="preserve">（一）信息化建设情况</w:t>
      </w:r>
      <w:r/>
    </w:p>
    <w:tbl>
      <w:tblPr>
        <w:tblStyle w:val="406"/>
        <w:tblW w:w="8516" w:type="dxa"/>
        <w:jc w:val="center"/>
        <w:tblLayout w:type="fixed"/>
        <w:tblLook w:val="04A0" w:firstRow="1" w:lastRow="0" w:firstColumn="1" w:lastColumn="0" w:noHBand="0" w:noVBand="1"/>
      </w:tblPr>
      <w:tblGrid>
        <w:gridCol w:w="3566"/>
        <w:gridCol w:w="1625"/>
        <w:gridCol w:w="3325"/>
      </w:tblGrid>
      <w:tr>
        <w:trPr>
          <w:jc w:val="center"/>
          <w:trHeight w:val="460"/>
        </w:trPr>
        <w:tc>
          <w:tcPr>
            <w:shd w:val="clear" w:color="auto" w:fill="auto"/>
            <w:tcW w:w="3566" w:type="dxa"/>
            <w:vAlign w:val="center"/>
            <w:textDirection w:val="lrTb"/>
            <w:noWrap w:val="false"/>
          </w:tcPr>
          <w:p>
            <w:pPr>
              <w:jc w:val="center"/>
              <w:rPr>
                <w:rFonts w:ascii="黑体" w:hAnsi="黑体" w:eastAsia="黑体"/>
              </w:rPr>
            </w:pPr>
            <w:r>
              <w:rPr>
                <w:rFonts w:ascii="黑体" w:hAnsi="黑体" w:eastAsia="黑体" w:hint="eastAsia"/>
              </w:rPr>
              <w:t xml:space="preserve">中心网址</w:t>
            </w:r>
            <w:r/>
          </w:p>
        </w:tc>
        <w:tc>
          <w:tcPr>
            <w:gridSpan w:val="2"/>
            <w:shd w:val="clear" w:color="auto" w:fill="auto"/>
            <w:tcW w:w="4950" w:type="dxa"/>
            <w:textDirection w:val="lrTb"/>
            <w:noWrap w:val="false"/>
          </w:tcPr>
          <w:p>
            <w:pPr>
              <w:rPr>
                <w:rFonts w:ascii="Times New Roman" w:hAnsi="Times New Roman" w:eastAsia="仿宋"/>
                <w:bCs/>
                <w:sz w:val="28"/>
                <w:szCs w:val="28"/>
              </w:rPr>
            </w:pPr>
            <w:r/>
            <w:hyperlink r:id="rId25" w:tooltip="http://yxsyzx.cqmu.edu.cn" w:history="1">
              <w:r>
                <w:rPr>
                  <w:rStyle w:val="408"/>
                  <w:rFonts w:ascii="Times New Roman" w:hAnsi="Times New Roman" w:eastAsia="仿宋"/>
                  <w:bCs/>
                  <w:color w:val="auto"/>
                  <w:sz w:val="28"/>
                  <w:szCs w:val="28"/>
                  <w:u w:val="none"/>
                </w:rPr>
                <w:t xml:space="preserve">http://yxsyzx.cqmu.edu.cn</w:t>
              </w:r>
            </w:hyperlink>
            <w:r/>
            <w:r/>
          </w:p>
          <w:p>
            <w:pPr>
              <w:rPr>
                <w:rFonts w:hint="eastAsia"/>
              </w:rPr>
            </w:pPr>
            <w:r>
              <w:rPr>
                <w:rStyle w:val="408"/>
                <w:rFonts w:ascii="Times New Roman" w:hAnsi="Times New Roman" w:hint="eastAsia"/>
                <w:bCs/>
                <w:color w:val="auto"/>
                <w:sz w:val="28"/>
                <w:szCs w:val="28"/>
                <w:u w:val="none"/>
              </w:rPr>
              <w:t xml:space="preserve">https://yxy.cqmu.edu.cn/</w:t>
            </w:r>
            <w:r/>
          </w:p>
        </w:tc>
      </w:tr>
      <w:tr>
        <w:trPr>
          <w:jc w:val="center"/>
          <w:trHeight w:val="460"/>
        </w:trPr>
        <w:tc>
          <w:tcPr>
            <w:shd w:val="clear" w:color="auto" w:fill="auto"/>
            <w:tcW w:w="3566" w:type="dxa"/>
            <w:vAlign w:val="center"/>
            <w:textDirection w:val="lrTb"/>
            <w:noWrap w:val="false"/>
          </w:tcPr>
          <w:p>
            <w:pPr>
              <w:jc w:val="center"/>
              <w:rPr>
                <w:rFonts w:ascii="黑体" w:hAnsi="黑体" w:eastAsia="黑体"/>
              </w:rPr>
            </w:pPr>
            <w:r>
              <w:rPr>
                <w:rFonts w:ascii="黑体" w:hAnsi="黑体" w:eastAsia="黑体" w:hint="eastAsia"/>
              </w:rPr>
              <w:t xml:space="preserve">中心网址年度访问总量</w:t>
            </w:r>
            <w:r/>
          </w:p>
        </w:tc>
        <w:tc>
          <w:tcPr>
            <w:gridSpan w:val="2"/>
            <w:shd w:val="clear" w:color="auto" w:fill="auto"/>
            <w:tcW w:w="4950" w:type="dxa"/>
            <w:textDirection w:val="lrTb"/>
            <w:noWrap w:val="false"/>
          </w:tcPr>
          <w:p>
            <w:pPr>
              <w:jc w:val="right"/>
              <w:rPr>
                <w:rFonts w:ascii="仿宋" w:hAnsi="仿宋" w:eastAsia="仿宋"/>
                <w:sz w:val="28"/>
                <w:szCs w:val="28"/>
              </w:rPr>
            </w:pPr>
            <w:r>
              <w:rPr>
                <w:rFonts w:ascii="仿宋" w:hAnsi="仿宋" w:eastAsia="仿宋" w:hint="eastAsia"/>
                <w:sz w:val="28"/>
                <w:szCs w:val="28"/>
              </w:rPr>
              <w:t xml:space="preserve">2</w:t>
            </w:r>
            <w:r>
              <w:rPr>
                <w:rFonts w:ascii="仿宋" w:hAnsi="仿宋" w:eastAsia="仿宋"/>
                <w:sz w:val="28"/>
                <w:szCs w:val="28"/>
              </w:rPr>
              <w:t xml:space="preserve">35879</w:t>
            </w:r>
            <w:r>
              <w:rPr>
                <w:rFonts w:ascii="仿宋" w:hAnsi="仿宋" w:eastAsia="仿宋" w:hint="eastAsia"/>
                <w:sz w:val="28"/>
                <w:szCs w:val="28"/>
              </w:rPr>
              <w:t xml:space="preserve">人次</w:t>
            </w:r>
            <w:r/>
          </w:p>
        </w:tc>
      </w:tr>
      <w:tr>
        <w:trPr>
          <w:jc w:val="center"/>
          <w:trHeight w:val="460"/>
        </w:trPr>
        <w:tc>
          <w:tcPr>
            <w:shd w:val="clear" w:color="auto" w:fill="auto"/>
            <w:tcW w:w="3566" w:type="dxa"/>
            <w:vAlign w:val="center"/>
            <w:textDirection w:val="lrTb"/>
            <w:noWrap w:val="false"/>
          </w:tcPr>
          <w:p>
            <w:pPr>
              <w:jc w:val="center"/>
              <w:rPr>
                <w:rFonts w:ascii="黑体" w:hAnsi="黑体" w:eastAsia="黑体"/>
              </w:rPr>
            </w:pPr>
            <w:r>
              <w:rPr>
                <w:rFonts w:ascii="黑体" w:hAnsi="黑体" w:eastAsia="黑体" w:hint="eastAsia"/>
              </w:rPr>
              <w:t xml:space="preserve">信息化资源总量</w:t>
            </w:r>
            <w:r/>
          </w:p>
        </w:tc>
        <w:tc>
          <w:tcPr>
            <w:gridSpan w:val="2"/>
            <w:shd w:val="clear" w:color="auto" w:fill="auto"/>
            <w:tcW w:w="4950" w:type="dxa"/>
            <w:textDirection w:val="lrTb"/>
            <w:noWrap w:val="false"/>
          </w:tcPr>
          <w:p>
            <w:pPr>
              <w:jc w:val="right"/>
              <w:rPr>
                <w:rFonts w:ascii="Times New Roman" w:hAnsi="Times New Roman" w:cs="Times New Roman" w:eastAsia="仿宋"/>
                <w:sz w:val="28"/>
                <w:szCs w:val="28"/>
              </w:rPr>
            </w:pPr>
            <w:r>
              <w:rPr>
                <w:rFonts w:ascii="Times New Roman" w:hAnsi="Times New Roman" w:cs="Times New Roman" w:eastAsia="仿宋"/>
                <w:sz w:val="28"/>
                <w:szCs w:val="28"/>
              </w:rPr>
              <w:t xml:space="preserve">7</w:t>
            </w:r>
            <w:r>
              <w:rPr>
                <w:rFonts w:ascii="Times New Roman" w:hAnsi="Times New Roman" w:cs="Times New Roman" w:eastAsia="仿宋" w:hint="eastAsia"/>
                <w:sz w:val="28"/>
                <w:szCs w:val="28"/>
              </w:rPr>
              <w:t xml:space="preserve">147</w:t>
            </w:r>
            <w:r>
              <w:rPr>
                <w:rFonts w:ascii="Times New Roman" w:hAnsi="Times New Roman" w:cs="Times New Roman" w:eastAsia="仿宋"/>
                <w:sz w:val="28"/>
                <w:szCs w:val="28"/>
              </w:rPr>
              <w:t xml:space="preserve">Mb</w:t>
            </w:r>
            <w:r/>
          </w:p>
        </w:tc>
      </w:tr>
      <w:tr>
        <w:trPr>
          <w:jc w:val="center"/>
          <w:trHeight w:val="460"/>
        </w:trPr>
        <w:tc>
          <w:tcPr>
            <w:shd w:val="clear" w:color="auto" w:fill="auto"/>
            <w:tcW w:w="3566" w:type="dxa"/>
            <w:vAlign w:val="center"/>
            <w:textDirection w:val="lrTb"/>
            <w:noWrap w:val="false"/>
          </w:tcPr>
          <w:p>
            <w:pPr>
              <w:jc w:val="center"/>
              <w:rPr>
                <w:rFonts w:ascii="黑体" w:hAnsi="黑体" w:eastAsia="黑体"/>
              </w:rPr>
            </w:pPr>
            <w:r>
              <w:rPr>
                <w:rFonts w:ascii="黑体" w:hAnsi="黑体" w:eastAsia="黑体" w:hint="eastAsia"/>
              </w:rPr>
              <w:t xml:space="preserve">信息化资源年度更新量</w:t>
            </w:r>
            <w:r/>
          </w:p>
        </w:tc>
        <w:tc>
          <w:tcPr>
            <w:gridSpan w:val="2"/>
            <w:shd w:val="clear" w:color="auto" w:fill="auto"/>
            <w:tcW w:w="4950" w:type="dxa"/>
            <w:textDirection w:val="lrTb"/>
            <w:noWrap w:val="false"/>
          </w:tcPr>
          <w:p>
            <w:pPr>
              <w:jc w:val="right"/>
              <w:rPr>
                <w:rFonts w:ascii="Times New Roman" w:hAnsi="Times New Roman" w:cs="Times New Roman" w:eastAsia="仿宋"/>
                <w:sz w:val="28"/>
                <w:szCs w:val="28"/>
              </w:rPr>
            </w:pPr>
            <w:r>
              <w:rPr>
                <w:rFonts w:ascii="Times New Roman" w:hAnsi="Times New Roman" w:cs="Times New Roman" w:eastAsia="仿宋" w:hint="eastAsia"/>
                <w:sz w:val="28"/>
                <w:szCs w:val="28"/>
              </w:rPr>
              <w:t xml:space="preserve">15</w:t>
            </w:r>
            <w:r>
              <w:rPr>
                <w:rFonts w:ascii="Times New Roman" w:hAnsi="Times New Roman" w:cs="Times New Roman" w:eastAsia="仿宋"/>
                <w:sz w:val="28"/>
                <w:szCs w:val="28"/>
              </w:rPr>
              <w:t xml:space="preserve">Mb</w:t>
            </w:r>
            <w:r/>
          </w:p>
        </w:tc>
      </w:tr>
      <w:tr>
        <w:trPr>
          <w:jc w:val="center"/>
          <w:trHeight w:val="460"/>
        </w:trPr>
        <w:tc>
          <w:tcPr>
            <w:shd w:val="clear" w:color="auto" w:fill="auto"/>
            <w:tcW w:w="3566" w:type="dxa"/>
            <w:vAlign w:val="center"/>
            <w:textDirection w:val="lrTb"/>
            <w:noWrap w:val="false"/>
          </w:tcPr>
          <w:p>
            <w:pPr>
              <w:jc w:val="center"/>
              <w:rPr>
                <w:rFonts w:ascii="黑体" w:hAnsi="黑体" w:eastAsia="黑体"/>
              </w:rPr>
            </w:pPr>
            <w:r>
              <w:rPr>
                <w:rFonts w:ascii="黑体" w:hAnsi="黑体" w:eastAsia="黑体" w:hint="eastAsia"/>
              </w:rPr>
              <w:t xml:space="preserve">虚拟仿真实验教学项目</w:t>
            </w:r>
            <w:r/>
          </w:p>
        </w:tc>
        <w:tc>
          <w:tcPr>
            <w:gridSpan w:val="2"/>
            <w:shd w:val="clear" w:color="auto" w:fill="auto"/>
            <w:tcW w:w="4950" w:type="dxa"/>
            <w:textDirection w:val="lrTb"/>
            <w:noWrap w:val="false"/>
          </w:tcPr>
          <w:p>
            <w:pPr>
              <w:jc w:val="right"/>
              <w:rPr>
                <w:rFonts w:ascii="仿宋" w:hAnsi="仿宋" w:eastAsia="仿宋"/>
                <w:sz w:val="28"/>
                <w:szCs w:val="28"/>
              </w:rPr>
            </w:pPr>
            <w:r>
              <w:rPr>
                <w:rFonts w:ascii="仿宋" w:hAnsi="仿宋" w:eastAsia="仿宋" w:hint="eastAsia"/>
                <w:sz w:val="28"/>
                <w:szCs w:val="28"/>
              </w:rPr>
              <w:t xml:space="preserve">12项</w:t>
            </w:r>
            <w:r/>
          </w:p>
        </w:tc>
      </w:tr>
      <w:tr>
        <w:trPr>
          <w:jc w:val="center"/>
          <w:trHeight w:val="460"/>
        </w:trPr>
        <w:tc>
          <w:tcPr>
            <w:shd w:val="clear" w:color="auto" w:fill="auto"/>
            <w:tcW w:w="3566" w:type="dxa"/>
            <w:vAlign w:val="center"/>
            <w:vMerge w:val="restart"/>
            <w:textDirection w:val="lrTb"/>
            <w:noWrap w:val="false"/>
          </w:tcPr>
          <w:p>
            <w:pPr>
              <w:jc w:val="center"/>
              <w:rPr>
                <w:rFonts w:ascii="黑体" w:hAnsi="黑体" w:eastAsia="黑体"/>
              </w:rPr>
            </w:pPr>
            <w:r>
              <w:rPr>
                <w:rFonts w:ascii="黑体" w:hAnsi="黑体" w:eastAsia="黑体" w:hint="eastAsia"/>
              </w:rPr>
              <w:t xml:space="preserve">中心信息化工作联系人</w:t>
            </w:r>
            <w:r/>
          </w:p>
        </w:tc>
        <w:tc>
          <w:tcPr>
            <w:shd w:val="clear" w:color="auto" w:fill="auto"/>
            <w:tcBorders>
              <w:right w:val="single" w:sz="4" w:space="0" w:color="auto"/>
            </w:tcBorders>
            <w:tcW w:w="1625" w:type="dxa"/>
            <w:vAlign w:val="center"/>
            <w:textDirection w:val="lrTb"/>
            <w:noWrap w:val="false"/>
          </w:tcPr>
          <w:p>
            <w:pPr>
              <w:jc w:val="center"/>
              <w:rPr>
                <w:rFonts w:ascii="楷体" w:hAnsi="楷体" w:eastAsia="楷体"/>
              </w:rPr>
            </w:pPr>
            <w:r>
              <w:rPr>
                <w:rFonts w:ascii="楷体" w:hAnsi="楷体" w:eastAsia="楷体" w:hint="eastAsia"/>
              </w:rPr>
              <w:t xml:space="preserve">姓名</w:t>
            </w:r>
            <w:r/>
          </w:p>
        </w:tc>
        <w:tc>
          <w:tcPr>
            <w:shd w:val="clear" w:color="auto" w:fill="auto"/>
            <w:tcBorders>
              <w:left w:val="single" w:sz="4" w:space="0" w:color="auto"/>
            </w:tcBorders>
            <w:tcW w:w="3325" w:type="dxa"/>
            <w:textDirection w:val="lrTb"/>
            <w:noWrap w:val="false"/>
          </w:tcPr>
          <w:p>
            <w:pPr>
              <w:jc w:val="center"/>
              <w:rPr>
                <w:rFonts w:ascii="仿宋" w:hAnsi="仿宋" w:eastAsia="仿宋"/>
                <w:sz w:val="28"/>
                <w:szCs w:val="28"/>
              </w:rPr>
            </w:pPr>
            <w:r>
              <w:rPr>
                <w:rFonts w:hint="eastAsia"/>
              </w:rPr>
              <w:t xml:space="preserve">尚京川</w:t>
            </w:r>
            <w:r/>
          </w:p>
        </w:tc>
      </w:tr>
      <w:tr>
        <w:trPr>
          <w:jc w:val="center"/>
          <w:trHeight w:val="460"/>
        </w:trPr>
        <w:tc>
          <w:tcPr>
            <w:shd w:val="clear" w:color="auto" w:fill="auto"/>
            <w:tcW w:w="3566" w:type="dxa"/>
            <w:vMerge w:val="continue"/>
            <w:textDirection w:val="lrTb"/>
            <w:noWrap w:val="false"/>
          </w:tcPr>
          <w:p>
            <w:pPr>
              <w:rPr>
                <w:rFonts w:ascii="仿宋" w:hAnsi="仿宋" w:eastAsia="仿宋"/>
                <w:sz w:val="28"/>
                <w:szCs w:val="28"/>
              </w:rPr>
            </w:pPr>
            <w:r>
              <w:rPr>
                <w:rFonts w:ascii="仿宋" w:hAnsi="仿宋" w:eastAsia="仿宋"/>
                <w:sz w:val="28"/>
                <w:szCs w:val="28"/>
              </w:rPr>
            </w:r>
            <w:r/>
          </w:p>
        </w:tc>
        <w:tc>
          <w:tcPr>
            <w:shd w:val="clear" w:color="auto" w:fill="auto"/>
            <w:tcBorders>
              <w:right w:val="single" w:sz="4" w:space="0" w:color="auto"/>
            </w:tcBorders>
            <w:tcW w:w="1625" w:type="dxa"/>
            <w:vAlign w:val="center"/>
            <w:textDirection w:val="lrTb"/>
            <w:noWrap w:val="false"/>
          </w:tcPr>
          <w:p>
            <w:pPr>
              <w:jc w:val="center"/>
              <w:rPr>
                <w:rFonts w:ascii="楷体" w:hAnsi="楷体" w:eastAsia="楷体"/>
              </w:rPr>
            </w:pPr>
            <w:r>
              <w:rPr>
                <w:rFonts w:ascii="楷体" w:hAnsi="楷体" w:eastAsia="楷体" w:hint="eastAsia"/>
              </w:rPr>
              <w:t xml:space="preserve">移动电话</w:t>
            </w:r>
            <w:r/>
          </w:p>
        </w:tc>
        <w:tc>
          <w:tcPr>
            <w:shd w:val="clear" w:color="auto" w:fill="auto"/>
            <w:tcBorders>
              <w:left w:val="single" w:sz="4" w:space="0" w:color="auto"/>
            </w:tcBorders>
            <w:tcW w:w="3325" w:type="dxa"/>
            <w:textDirection w:val="lrTb"/>
            <w:noWrap w:val="false"/>
          </w:tcPr>
          <w:p>
            <w:pPr>
              <w:jc w:val="center"/>
              <w:rPr>
                <w:rFonts w:ascii="仿宋" w:hAnsi="仿宋" w:eastAsia="仿宋"/>
                <w:sz w:val="28"/>
                <w:szCs w:val="28"/>
              </w:rPr>
            </w:pPr>
            <w:r>
              <w:t xml:space="preserve">15683705705</w:t>
            </w:r>
            <w:r/>
          </w:p>
        </w:tc>
      </w:tr>
      <w:tr>
        <w:trPr>
          <w:jc w:val="center"/>
          <w:trHeight w:val="460"/>
        </w:trPr>
        <w:tc>
          <w:tcPr>
            <w:shd w:val="clear" w:color="auto" w:fill="auto"/>
            <w:tcW w:w="3566" w:type="dxa"/>
            <w:vMerge w:val="continue"/>
            <w:textDirection w:val="lrTb"/>
            <w:noWrap w:val="false"/>
          </w:tcPr>
          <w:p>
            <w:pPr>
              <w:rPr>
                <w:rFonts w:ascii="仿宋" w:hAnsi="仿宋" w:eastAsia="仿宋"/>
                <w:sz w:val="28"/>
                <w:szCs w:val="28"/>
              </w:rPr>
            </w:pPr>
            <w:r>
              <w:rPr>
                <w:rFonts w:ascii="仿宋" w:hAnsi="仿宋" w:eastAsia="仿宋"/>
                <w:sz w:val="28"/>
                <w:szCs w:val="28"/>
              </w:rPr>
            </w:r>
            <w:r/>
          </w:p>
        </w:tc>
        <w:tc>
          <w:tcPr>
            <w:shd w:val="clear" w:color="auto" w:fill="auto"/>
            <w:tcBorders>
              <w:right w:val="single" w:sz="4" w:space="0" w:color="auto"/>
            </w:tcBorders>
            <w:tcW w:w="1625" w:type="dxa"/>
            <w:vAlign w:val="center"/>
            <w:textDirection w:val="lrTb"/>
            <w:noWrap w:val="false"/>
          </w:tcPr>
          <w:p>
            <w:pPr>
              <w:jc w:val="center"/>
              <w:rPr>
                <w:rFonts w:ascii="楷体" w:hAnsi="楷体" w:eastAsia="楷体"/>
              </w:rPr>
            </w:pPr>
            <w:r>
              <w:rPr>
                <w:rFonts w:ascii="楷体" w:hAnsi="楷体" w:eastAsia="楷体" w:hint="eastAsia"/>
              </w:rPr>
              <w:t xml:space="preserve">电子邮箱</w:t>
            </w:r>
            <w:r/>
          </w:p>
        </w:tc>
        <w:tc>
          <w:tcPr>
            <w:shd w:val="clear" w:color="auto" w:fill="auto"/>
            <w:tcBorders>
              <w:left w:val="single" w:sz="4" w:space="0" w:color="auto"/>
            </w:tcBorders>
            <w:tcW w:w="3325" w:type="dxa"/>
            <w:textDirection w:val="lrTb"/>
            <w:noWrap w:val="false"/>
          </w:tcPr>
          <w:p>
            <w:pPr>
              <w:jc w:val="center"/>
              <w:rPr>
                <w:rFonts w:ascii="仿宋" w:hAnsi="仿宋" w:eastAsia="仿宋"/>
                <w:sz w:val="28"/>
                <w:szCs w:val="28"/>
              </w:rPr>
            </w:pPr>
            <w:r>
              <w:t xml:space="preserve">654737877@qq.com</w:t>
            </w:r>
            <w:r/>
          </w:p>
        </w:tc>
      </w:tr>
    </w:tbl>
    <w:p>
      <w:pPr>
        <w:ind w:firstLine="560"/>
        <w:spacing w:before="163"/>
        <w:rPr>
          <w:rFonts w:ascii="黑体" w:hAnsi="黑体" w:cs="仿宋_GB2312" w:eastAsia="黑体"/>
          <w:sz w:val="28"/>
          <w:szCs w:val="28"/>
        </w:rPr>
      </w:pPr>
      <w:r>
        <w:rPr>
          <w:rFonts w:ascii="黑体" w:hAnsi="黑体" w:cs="仿宋_GB2312" w:eastAsia="黑体" w:hint="eastAsia"/>
          <w:sz w:val="28"/>
          <w:szCs w:val="28"/>
        </w:rPr>
        <w:t xml:space="preserve">（二）开放运行和示范辐射情况</w:t>
      </w:r>
      <w:r/>
    </w:p>
    <w:p>
      <w:pPr>
        <w:ind w:firstLine="480"/>
        <w:spacing w:after="163" w:before="163"/>
        <w:rPr>
          <w:rFonts w:ascii="黑体" w:hAnsi="黑体" w:cs="仿宋_GB2312" w:eastAsia="黑体"/>
        </w:rPr>
      </w:pPr>
      <w:r>
        <w:rPr>
          <w:rFonts w:ascii="黑体" w:hAnsi="黑体" w:cs="仿宋_GB2312" w:eastAsia="黑体" w:hint="eastAsia"/>
        </w:rPr>
        <w:t xml:space="preserve">1.参加示范中心联席会活动情况</w:t>
      </w:r>
      <w:r/>
    </w:p>
    <w:tbl>
      <w:tblPr>
        <w:tblStyle w:val="406"/>
        <w:tblW w:w="8516" w:type="dxa"/>
        <w:tblLayout w:type="fixed"/>
        <w:tblLook w:val="04A0" w:firstRow="1" w:lastRow="0" w:firstColumn="1" w:lastColumn="0" w:noHBand="0" w:noVBand="1"/>
      </w:tblPr>
      <w:tblGrid>
        <w:gridCol w:w="4783"/>
        <w:gridCol w:w="3733"/>
      </w:tblGrid>
      <w:tr>
        <w:trPr>
          <w:trHeight w:val="467"/>
        </w:trPr>
        <w:tc>
          <w:tcPr>
            <w:tcW w:w="4783" w:type="dxa"/>
            <w:vAlign w:val="center"/>
            <w:textDirection w:val="lrTb"/>
            <w:noWrap w:val="false"/>
          </w:tcPr>
          <w:p>
            <w:pPr>
              <w:jc w:val="center"/>
              <w:rPr>
                <w:rFonts w:ascii="黑体" w:hAnsi="黑体" w:cs="仿宋_GB2312" w:eastAsia="黑体"/>
              </w:rPr>
            </w:pPr>
            <w:r>
              <w:rPr>
                <w:rFonts w:ascii="黑体" w:hAnsi="黑体" w:cs="仿宋_GB2312" w:eastAsia="黑体" w:hint="eastAsia"/>
              </w:rPr>
              <w:t xml:space="preserve">所在示范中心联席会学科组名称</w:t>
            </w:r>
            <w:r/>
          </w:p>
        </w:tc>
        <w:tc>
          <w:tcPr>
            <w:tcW w:w="3733" w:type="dxa"/>
            <w:textDirection w:val="lrTb"/>
            <w:noWrap w:val="false"/>
          </w:tcPr>
          <w:p>
            <w:pPr>
              <w:rPr>
                <w:rFonts w:ascii="仿宋" w:hAnsi="仿宋" w:cs="仿宋_GB2312" w:eastAsia="仿宋"/>
                <w:sz w:val="28"/>
                <w:szCs w:val="28"/>
              </w:rPr>
            </w:pPr>
            <w:r>
              <w:rPr>
                <w:rFonts w:ascii="仿宋" w:hAnsi="仿宋" w:cs="仿宋_GB2312" w:eastAsia="仿宋"/>
                <w:sz w:val="28"/>
                <w:szCs w:val="28"/>
              </w:rPr>
            </w:r>
            <w:r/>
          </w:p>
        </w:tc>
      </w:tr>
      <w:tr>
        <w:trPr>
          <w:trHeight w:val="467"/>
        </w:trPr>
        <w:tc>
          <w:tcPr>
            <w:tcW w:w="4783" w:type="dxa"/>
            <w:vAlign w:val="center"/>
            <w:textDirection w:val="lrTb"/>
            <w:noWrap w:val="false"/>
          </w:tcPr>
          <w:p>
            <w:pPr>
              <w:ind w:firstLine="480"/>
              <w:jc w:val="center"/>
              <w:rPr>
                <w:rFonts w:ascii="黑体" w:hAnsi="黑体" w:cs="仿宋_GB2312" w:eastAsia="黑体"/>
              </w:rPr>
            </w:pPr>
            <w:r>
              <w:rPr>
                <w:rFonts w:ascii="黑体" w:hAnsi="黑体" w:cs="仿宋_GB2312" w:eastAsia="黑体" w:hint="eastAsia"/>
              </w:rPr>
              <w:t xml:space="preserve">参加活动的人次数</w:t>
            </w:r>
            <w:r/>
          </w:p>
        </w:tc>
        <w:tc>
          <w:tcPr>
            <w:tcW w:w="3733" w:type="dxa"/>
            <w:textDirection w:val="lrTb"/>
            <w:noWrap w:val="false"/>
          </w:tcPr>
          <w:p>
            <w:pPr>
              <w:jc w:val="right"/>
              <w:rPr>
                <w:rFonts w:ascii="仿宋" w:hAnsi="仿宋" w:cs="仿宋_GB2312" w:eastAsia="仿宋"/>
                <w:sz w:val="28"/>
                <w:szCs w:val="28"/>
              </w:rPr>
            </w:pPr>
            <w:r>
              <w:rPr>
                <w:rFonts w:ascii="仿宋" w:hAnsi="仿宋" w:cs="仿宋_GB2312" w:eastAsia="仿宋" w:hint="eastAsia"/>
                <w:sz w:val="28"/>
                <w:szCs w:val="28"/>
              </w:rPr>
              <w:t xml:space="preserve">2人次（线上）</w:t>
            </w:r>
            <w:r/>
          </w:p>
        </w:tc>
      </w:tr>
    </w:tbl>
    <w:p>
      <w:pPr>
        <w:spacing w:after="163" w:before="163"/>
        <w:rPr>
          <w:rFonts w:ascii="黑体" w:hAnsi="黑体" w:cs="仿宋_GB2312" w:eastAsia="黑体"/>
        </w:rPr>
      </w:pPr>
      <w:r/>
      <w:bookmarkStart w:id="113" w:name="承办大型会议情况"/>
      <w:r/>
      <w:bookmarkEnd w:id="113"/>
      <w:r/>
      <w:r/>
    </w:p>
    <w:p>
      <w:pPr>
        <w:ind w:firstLine="480"/>
        <w:spacing w:after="163" w:before="163"/>
        <w:rPr>
          <w:rFonts w:ascii="黑体" w:hAnsi="黑体" w:eastAsia="黑体"/>
        </w:rPr>
      </w:pPr>
      <w:r>
        <w:rPr>
          <w:rFonts w:ascii="黑体" w:hAnsi="黑体" w:cs="仿宋_GB2312" w:eastAsia="黑体" w:hint="eastAsia"/>
        </w:rPr>
        <w:t xml:space="preserve">2.承办大型会议情况</w:t>
      </w:r>
      <w:r/>
    </w:p>
    <w:tbl>
      <w:tblPr>
        <w:tblW w:w="8516" w:type="dxa"/>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709"/>
        <w:gridCol w:w="2093"/>
        <w:gridCol w:w="1561"/>
        <w:gridCol w:w="940"/>
        <w:gridCol w:w="759"/>
        <w:gridCol w:w="1417"/>
        <w:gridCol w:w="1037"/>
      </w:tblGrid>
      <w:tr>
        <w:trPr>
          <w:trHeight w:val="424"/>
        </w:trPr>
        <w:tc>
          <w:tcPr>
            <w:shd w:val="clear" w:color="auto" w:fill="auto"/>
            <w:tcW w:w="709" w:type="dxa"/>
            <w:vAlign w:val="center"/>
            <w:textDirection w:val="lrTb"/>
            <w:noWrap w:val="false"/>
          </w:tcPr>
          <w:p>
            <w:pPr>
              <w:jc w:val="center"/>
              <w:rPr>
                <w:rFonts w:ascii="黑体" w:hAnsi="黑体" w:eastAsia="黑体"/>
              </w:rPr>
            </w:pPr>
            <w:r>
              <w:rPr>
                <w:rFonts w:ascii="黑体" w:hAnsi="黑体" w:cs="宋体" w:eastAsia="黑体" w:hint="eastAsia"/>
              </w:rPr>
              <w:t xml:space="preserve">序号</w:t>
            </w:r>
            <w:r/>
          </w:p>
        </w:tc>
        <w:tc>
          <w:tcPr>
            <w:shd w:val="clear" w:color="auto" w:fill="auto"/>
            <w:tcW w:w="2093" w:type="dxa"/>
            <w:vAlign w:val="center"/>
            <w:textDirection w:val="lrTb"/>
            <w:noWrap w:val="false"/>
          </w:tcPr>
          <w:p>
            <w:pPr>
              <w:jc w:val="center"/>
              <w:rPr>
                <w:rFonts w:ascii="黑体" w:hAnsi="黑体" w:eastAsia="黑体"/>
              </w:rPr>
            </w:pPr>
            <w:r>
              <w:rPr>
                <w:rFonts w:ascii="黑体" w:hAnsi="黑体" w:cs="宋体" w:eastAsia="黑体" w:hint="eastAsia"/>
              </w:rPr>
              <w:t xml:space="preserve">会议名称</w:t>
            </w:r>
            <w:r/>
          </w:p>
        </w:tc>
        <w:tc>
          <w:tcPr>
            <w:shd w:val="clear" w:color="auto" w:fill="auto"/>
            <w:tcW w:w="1561" w:type="dxa"/>
            <w:vAlign w:val="center"/>
            <w:textDirection w:val="lrTb"/>
            <w:noWrap w:val="false"/>
          </w:tcPr>
          <w:p>
            <w:pPr>
              <w:jc w:val="center"/>
              <w:rPr>
                <w:rFonts w:ascii="黑体" w:hAnsi="黑体" w:eastAsia="黑体"/>
              </w:rPr>
            </w:pPr>
            <w:r>
              <w:rPr>
                <w:rFonts w:ascii="黑体" w:hAnsi="黑体" w:cs="宋体" w:eastAsia="黑体" w:hint="eastAsia"/>
              </w:rPr>
              <w:t xml:space="preserve">主办单位名称</w:t>
            </w:r>
            <w:r/>
          </w:p>
        </w:tc>
        <w:tc>
          <w:tcPr>
            <w:shd w:val="clear" w:color="auto" w:fill="auto"/>
            <w:tcW w:w="940" w:type="dxa"/>
            <w:vAlign w:val="center"/>
            <w:textDirection w:val="lrTb"/>
            <w:noWrap w:val="false"/>
          </w:tcPr>
          <w:p>
            <w:pPr>
              <w:jc w:val="center"/>
              <w:rPr>
                <w:rFonts w:ascii="黑体" w:hAnsi="黑体" w:eastAsia="黑体"/>
              </w:rPr>
            </w:pPr>
            <w:r>
              <w:rPr>
                <w:rFonts w:ascii="黑体" w:hAnsi="黑体" w:cs="宋体" w:eastAsia="黑体" w:hint="eastAsia"/>
              </w:rPr>
              <w:t xml:space="preserve">会议主席</w:t>
            </w:r>
            <w:r/>
          </w:p>
        </w:tc>
        <w:tc>
          <w:tcPr>
            <w:shd w:val="clear" w:color="auto" w:fill="auto"/>
            <w:tcW w:w="759" w:type="dxa"/>
            <w:vAlign w:val="center"/>
            <w:textDirection w:val="lrTb"/>
            <w:noWrap w:val="false"/>
          </w:tcPr>
          <w:p>
            <w:pPr>
              <w:jc w:val="center"/>
              <w:rPr>
                <w:rFonts w:ascii="黑体" w:hAnsi="黑体" w:eastAsia="黑体"/>
              </w:rPr>
            </w:pPr>
            <w:r>
              <w:rPr>
                <w:rFonts w:ascii="黑体" w:hAnsi="黑体" w:eastAsia="黑体" w:hint="eastAsia"/>
              </w:rPr>
              <w:t xml:space="preserve">参加人数</w:t>
            </w:r>
            <w:r/>
          </w:p>
        </w:tc>
        <w:tc>
          <w:tcPr>
            <w:shd w:val="clear" w:color="auto" w:fill="auto"/>
            <w:tcW w:w="1417" w:type="dxa"/>
            <w:vAlign w:val="center"/>
            <w:textDirection w:val="lrTb"/>
            <w:noWrap w:val="false"/>
          </w:tcPr>
          <w:p>
            <w:pPr>
              <w:jc w:val="center"/>
              <w:rPr>
                <w:rFonts w:ascii="黑体" w:hAnsi="黑体" w:eastAsia="黑体"/>
              </w:rPr>
            </w:pPr>
            <w:r>
              <w:rPr>
                <w:rFonts w:ascii="黑体" w:hAnsi="黑体" w:cs="宋体" w:eastAsia="黑体" w:hint="eastAsia"/>
              </w:rPr>
              <w:t xml:space="preserve">时间</w:t>
            </w:r>
            <w:r/>
          </w:p>
        </w:tc>
        <w:tc>
          <w:tcPr>
            <w:shd w:val="clear" w:color="auto" w:fill="auto"/>
            <w:tcW w:w="1037" w:type="dxa"/>
            <w:vAlign w:val="center"/>
            <w:textDirection w:val="lrTb"/>
            <w:noWrap w:val="false"/>
          </w:tcPr>
          <w:p>
            <w:pPr>
              <w:jc w:val="center"/>
              <w:rPr>
                <w:rFonts w:ascii="黑体" w:hAnsi="黑体" w:eastAsia="黑体"/>
              </w:rPr>
            </w:pPr>
            <w:r>
              <w:rPr>
                <w:rFonts w:ascii="黑体" w:hAnsi="黑体" w:cs="宋体" w:eastAsia="黑体" w:hint="eastAsia"/>
              </w:rPr>
              <w:t xml:space="preserve">类型</w:t>
            </w:r>
            <w:r/>
          </w:p>
        </w:tc>
      </w:tr>
      <w:tr>
        <w:trPr>
          <w:trHeight w:val="424"/>
        </w:trPr>
        <w:tc>
          <w:tcPr>
            <w:shd w:val="clear" w:color="auto" w:fill="auto"/>
            <w:tcW w:w="709" w:type="dxa"/>
            <w:vAlign w:val="center"/>
            <w:textDirection w:val="lrTb"/>
            <w:noWrap w:val="false"/>
          </w:tcPr>
          <w:p>
            <w:pPr>
              <w:jc w:val="center"/>
              <w:rPr>
                <w:rFonts w:ascii="楷体" w:hAnsi="楷体" w:eastAsia="楷体"/>
                <w:b/>
                <w:sz w:val="21"/>
                <w:szCs w:val="21"/>
              </w:rPr>
            </w:pPr>
            <w:r>
              <w:rPr>
                <w:rFonts w:ascii="楷体" w:hAnsi="楷体" w:eastAsia="楷体"/>
                <w:b/>
                <w:sz w:val="21"/>
                <w:szCs w:val="21"/>
              </w:rPr>
            </w:r>
            <w:r/>
          </w:p>
        </w:tc>
        <w:tc>
          <w:tcPr>
            <w:shd w:val="clear" w:color="auto" w:fill="auto"/>
            <w:tcW w:w="2093" w:type="dxa"/>
            <w:vAlign w:val="center"/>
            <w:textDirection w:val="lrTb"/>
            <w:noWrap w:val="false"/>
          </w:tcPr>
          <w:p>
            <w:pPr>
              <w:widowControl/>
              <w:rPr>
                <w:rFonts w:ascii="仿宋_GB2312" w:hAnsi="宋体" w:cs="仿宋_GB2312" w:eastAsia="仿宋_GB2312"/>
                <w:b/>
                <w:bCs/>
                <w:color w:val="000000"/>
              </w:rPr>
            </w:pPr>
            <w:r>
              <w:rPr>
                <w:rFonts w:ascii="仿宋_GB2312" w:hAnsi="宋体" w:cs="仿宋_GB2312" w:eastAsia="仿宋_GB2312"/>
                <w:b/>
                <w:bCs/>
                <w:color w:val="000000"/>
              </w:rPr>
            </w:r>
            <w:r/>
          </w:p>
        </w:tc>
        <w:tc>
          <w:tcPr>
            <w:shd w:val="clear" w:color="auto" w:fill="auto"/>
            <w:tcW w:w="1561"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940"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759"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1417" w:type="dxa"/>
            <w:vAlign w:val="center"/>
            <w:textDirection w:val="lrTb"/>
            <w:noWrap w:val="false"/>
          </w:tcPr>
          <w:p>
            <w:pPr>
              <w:ind w:left="241" w:hanging="241"/>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1037"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r>
      <w:tr>
        <w:trPr>
          <w:trHeight w:val="424"/>
        </w:trPr>
        <w:tc>
          <w:tcPr>
            <w:shd w:val="clear" w:color="auto" w:fill="auto"/>
            <w:tcW w:w="709" w:type="dxa"/>
            <w:vAlign w:val="center"/>
            <w:textDirection w:val="lrTb"/>
            <w:noWrap w:val="false"/>
          </w:tcPr>
          <w:p>
            <w:pPr>
              <w:jc w:val="center"/>
              <w:rPr>
                <w:rFonts w:ascii="楷体" w:hAnsi="楷体" w:eastAsia="楷体"/>
                <w:b/>
                <w:sz w:val="21"/>
                <w:szCs w:val="21"/>
              </w:rPr>
            </w:pPr>
            <w:r>
              <w:rPr>
                <w:rFonts w:ascii="楷体" w:hAnsi="楷体" w:eastAsia="楷体"/>
                <w:b/>
                <w:sz w:val="21"/>
                <w:szCs w:val="21"/>
              </w:rPr>
            </w:r>
            <w:r/>
          </w:p>
        </w:tc>
        <w:tc>
          <w:tcPr>
            <w:shd w:val="clear" w:color="auto" w:fill="auto"/>
            <w:tcW w:w="2093"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1561"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940"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759"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1417"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c>
          <w:tcPr>
            <w:shd w:val="clear" w:color="auto" w:fill="auto"/>
            <w:tcW w:w="1037" w:type="dxa"/>
            <w:vAlign w:val="center"/>
            <w:textDirection w:val="lrTb"/>
            <w:noWrap w:val="false"/>
          </w:tcPr>
          <w:p>
            <w:pPr>
              <w:widowControl/>
              <w:rPr>
                <w:rFonts w:ascii="仿宋_GB2312" w:hAnsi="宋体" w:cs="仿宋_GB2312" w:eastAsia="仿宋_GB2312"/>
                <w:b/>
                <w:bCs/>
                <w:color w:val="000000"/>
                <w:lang w:bidi="ar"/>
              </w:rPr>
            </w:pPr>
            <w:r>
              <w:rPr>
                <w:rFonts w:ascii="仿宋_GB2312" w:hAnsi="宋体" w:cs="仿宋_GB2312" w:eastAsia="仿宋_GB2312"/>
                <w:b/>
                <w:bCs/>
                <w:color w:val="000000"/>
                <w:lang w:bidi="ar"/>
              </w:rPr>
            </w:r>
            <w:r/>
          </w:p>
        </w:tc>
      </w:tr>
    </w:tbl>
    <w:p>
      <w:pPr>
        <w:ind w:firstLine="480"/>
        <w:spacing w:before="163"/>
        <w:rPr>
          <w:rFonts w:ascii="楷体" w:hAnsi="楷体" w:eastAsia="楷体"/>
        </w:rPr>
      </w:pPr>
      <w:r>
        <w:rPr>
          <w:rFonts w:ascii="楷体" w:hAnsi="楷体" w:eastAsia="楷体" w:hint="eastAsia"/>
          <w:bCs/>
        </w:rPr>
        <w:t xml:space="preserve">注</w:t>
      </w:r>
      <w:r>
        <w:rPr>
          <w:rFonts w:ascii="楷体" w:hAnsi="楷体" w:eastAsia="楷体" w:hint="eastAsia"/>
        </w:rPr>
        <w:t xml:space="preserve">：主办或协办由主管部门、一级学会或示范中心联席会批准的会议。</w:t>
      </w:r>
      <w:r>
        <w:rPr>
          <w:rFonts w:ascii="楷体" w:hAnsi="楷体" w:cs="仿宋_GB2312" w:eastAsia="楷体" w:hint="eastAsia"/>
        </w:rPr>
        <w:t xml:space="preserve">请按全球性、</w:t>
      </w:r>
      <w:r>
        <w:rPr>
          <w:rFonts w:ascii="楷体" w:hAnsi="楷体" w:eastAsia="楷体" w:hint="eastAsia"/>
        </w:rPr>
        <w:t xml:space="preserve">区域性</w:t>
      </w:r>
      <w:r>
        <w:rPr>
          <w:rFonts w:ascii="楷体" w:hAnsi="楷体" w:cs="仿宋_GB2312" w:eastAsia="楷体" w:hint="eastAsia"/>
        </w:rPr>
        <w:t xml:space="preserve">、双边性、全国性等排序，并在类型栏中标明。</w:t>
      </w:r>
      <w:r/>
    </w:p>
    <w:p>
      <w:pPr>
        <w:spacing w:after="163" w:before="50"/>
        <w:rPr>
          <w:rFonts w:ascii="黑体" w:hAnsi="黑体" w:cs="仿宋_GB2312" w:eastAsia="黑体"/>
        </w:rPr>
      </w:pPr>
      <w:r>
        <w:rPr>
          <w:rFonts w:ascii="黑体" w:hAnsi="黑体" w:cs="仿宋_GB2312" w:eastAsia="黑体"/>
        </w:rPr>
      </w:r>
      <w:r/>
    </w:p>
    <w:p>
      <w:pPr>
        <w:ind w:firstLine="470"/>
        <w:spacing w:after="163" w:before="50"/>
        <w:rPr>
          <w:rFonts w:ascii="黑体" w:hAnsi="黑体" w:cs="仿宋_GB2312" w:eastAsia="黑体"/>
        </w:rPr>
      </w:pPr>
      <w:r>
        <w:rPr>
          <w:rFonts w:ascii="黑体" w:hAnsi="黑体" w:cs="仿宋_GB2312" w:eastAsia="黑体" w:hint="eastAsia"/>
        </w:rPr>
        <w:t xml:space="preserve">3.参加大型会议情况</w:t>
      </w:r>
      <w:r/>
    </w:p>
    <w:tbl>
      <w:tblPr>
        <w:tblW w:w="8516" w:type="dxa"/>
        <w:jc w:val="center"/>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709"/>
        <w:gridCol w:w="1952"/>
        <w:gridCol w:w="1952"/>
        <w:gridCol w:w="1952"/>
        <w:gridCol w:w="1065"/>
        <w:gridCol w:w="886"/>
      </w:tblGrid>
      <w:tr>
        <w:trPr>
          <w:jc w:val="center"/>
          <w:trHeight w:val="456"/>
        </w:trPr>
        <w:tc>
          <w:tcPr>
            <w:tcW w:w="709" w:type="dxa"/>
            <w:vAlign w:val="center"/>
            <w:textDirection w:val="lrTb"/>
            <w:noWrap w:val="false"/>
          </w:tcPr>
          <w:p>
            <w:pPr>
              <w:jc w:val="center"/>
              <w:rPr>
                <w:rFonts w:ascii="黑体" w:hAnsi="黑体" w:eastAsia="黑体"/>
              </w:rPr>
            </w:pPr>
            <w:r>
              <w:rPr>
                <w:rFonts w:ascii="黑体" w:hAnsi="黑体" w:cs="宋体" w:eastAsia="黑体" w:hint="eastAsia"/>
              </w:rPr>
              <w:t xml:space="preserve">序号</w:t>
            </w:r>
            <w:r/>
          </w:p>
        </w:tc>
        <w:tc>
          <w:tcPr>
            <w:tcW w:w="1952" w:type="dxa"/>
            <w:vAlign w:val="center"/>
            <w:textDirection w:val="lrTb"/>
            <w:noWrap w:val="false"/>
          </w:tcPr>
          <w:p>
            <w:pPr>
              <w:jc w:val="center"/>
              <w:rPr>
                <w:rFonts w:ascii="黑体" w:hAnsi="黑体" w:eastAsia="黑体"/>
              </w:rPr>
            </w:pPr>
            <w:r>
              <w:rPr>
                <w:rFonts w:ascii="黑体" w:hAnsi="黑体" w:cs="宋体" w:eastAsia="黑体" w:hint="eastAsia"/>
              </w:rPr>
              <w:t xml:space="preserve">大会报告名称</w:t>
            </w:r>
            <w:r/>
          </w:p>
        </w:tc>
        <w:tc>
          <w:tcPr>
            <w:tcW w:w="1952" w:type="dxa"/>
            <w:vAlign w:val="center"/>
            <w:textDirection w:val="lrTb"/>
            <w:noWrap w:val="false"/>
          </w:tcPr>
          <w:p>
            <w:pPr>
              <w:jc w:val="center"/>
              <w:rPr>
                <w:rFonts w:ascii="黑体" w:hAnsi="黑体" w:eastAsia="黑体"/>
              </w:rPr>
            </w:pPr>
            <w:r>
              <w:rPr>
                <w:rFonts w:ascii="黑体" w:hAnsi="黑体" w:cs="宋体" w:eastAsia="黑体" w:hint="eastAsia"/>
              </w:rPr>
              <w:t xml:space="preserve">报告人</w:t>
            </w:r>
            <w:r/>
          </w:p>
        </w:tc>
        <w:tc>
          <w:tcPr>
            <w:tcW w:w="1952" w:type="dxa"/>
            <w:vAlign w:val="center"/>
            <w:textDirection w:val="lrTb"/>
            <w:noWrap w:val="false"/>
          </w:tcPr>
          <w:p>
            <w:pPr>
              <w:jc w:val="center"/>
              <w:rPr>
                <w:rFonts w:ascii="黑体" w:hAnsi="黑体" w:eastAsia="黑体"/>
              </w:rPr>
            </w:pPr>
            <w:r>
              <w:rPr>
                <w:rFonts w:ascii="黑体" w:hAnsi="黑体" w:cs="宋体" w:eastAsia="黑体" w:hint="eastAsia"/>
              </w:rPr>
              <w:t xml:space="preserve">会议名称</w:t>
            </w:r>
            <w:r/>
          </w:p>
        </w:tc>
        <w:tc>
          <w:tcPr>
            <w:tcW w:w="1065" w:type="dxa"/>
            <w:vAlign w:val="center"/>
            <w:textDirection w:val="lrTb"/>
            <w:noWrap w:val="false"/>
          </w:tcPr>
          <w:p>
            <w:pPr>
              <w:jc w:val="center"/>
              <w:rPr>
                <w:rFonts w:ascii="黑体" w:hAnsi="黑体" w:eastAsia="黑体"/>
              </w:rPr>
            </w:pPr>
            <w:r>
              <w:rPr>
                <w:rFonts w:ascii="黑体" w:hAnsi="黑体" w:cs="宋体" w:eastAsia="黑体" w:hint="eastAsia"/>
              </w:rPr>
              <w:t xml:space="preserve">时间</w:t>
            </w:r>
            <w:r/>
          </w:p>
        </w:tc>
        <w:tc>
          <w:tcPr>
            <w:tcW w:w="886" w:type="dxa"/>
            <w:vAlign w:val="center"/>
            <w:textDirection w:val="lrTb"/>
            <w:noWrap w:val="false"/>
          </w:tcPr>
          <w:p>
            <w:pPr>
              <w:jc w:val="center"/>
              <w:rPr>
                <w:rFonts w:ascii="黑体" w:hAnsi="黑体" w:eastAsia="黑体"/>
              </w:rPr>
            </w:pPr>
            <w:r>
              <w:rPr>
                <w:rFonts w:ascii="黑体" w:hAnsi="黑体" w:cs="宋体" w:eastAsia="黑体" w:hint="eastAsia"/>
              </w:rPr>
              <w:t xml:space="preserve">地点</w:t>
            </w:r>
            <w:r/>
          </w:p>
        </w:tc>
      </w:tr>
      <w:tr>
        <w:trPr>
          <w:jc w:val="center"/>
          <w:trHeight w:val="346"/>
        </w:trPr>
        <w:tc>
          <w:tcPr>
            <w:tcW w:w="709" w:type="dxa"/>
            <w:vAlign w:val="center"/>
            <w:textDirection w:val="lrTb"/>
            <w:noWrap w:val="false"/>
          </w:tcPr>
          <w:p>
            <w:pPr>
              <w:jc w:val="center"/>
              <w:rPr>
                <w:rFonts w:ascii="楷体" w:hAnsi="楷体" w:eastAsia="楷体"/>
              </w:rPr>
            </w:pPr>
            <w:r>
              <w:rPr>
                <w:rFonts w:ascii="楷体" w:hAnsi="楷体" w:eastAsia="楷体" w:hint="eastAsia"/>
              </w:rPr>
              <w:t xml:space="preserve">1</w:t>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06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88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r>
        <w:trPr>
          <w:jc w:val="center"/>
          <w:trHeight w:val="456"/>
        </w:trPr>
        <w:tc>
          <w:tcPr>
            <w:tcW w:w="709" w:type="dxa"/>
            <w:vAlign w:val="center"/>
            <w:textDirection w:val="lrTb"/>
            <w:noWrap w:val="false"/>
          </w:tcPr>
          <w:p>
            <w:pPr>
              <w:jc w:val="center"/>
              <w:rPr>
                <w:rFonts w:ascii="楷体" w:hAnsi="楷体" w:eastAsia="楷体"/>
              </w:rPr>
            </w:pPr>
            <w:r>
              <w:rPr>
                <w:rFonts w:ascii="楷体" w:hAnsi="楷体" w:eastAsia="楷体" w:hint="eastAsia"/>
              </w:rPr>
              <w:t xml:space="preserve">2</w:t>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06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88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r>
        <w:trPr>
          <w:jc w:val="center"/>
          <w:trHeight w:val="456"/>
        </w:trPr>
        <w:tc>
          <w:tcPr>
            <w:tcW w:w="709" w:type="dxa"/>
            <w:vAlign w:val="center"/>
            <w:textDirection w:val="lrTb"/>
            <w:noWrap w:val="false"/>
          </w:tcPr>
          <w:p>
            <w:pPr>
              <w:jc w:val="center"/>
              <w:rPr>
                <w:rFonts w:ascii="楷体" w:hAnsi="楷体" w:eastAsia="楷体"/>
              </w:rPr>
            </w:pPr>
            <w:r>
              <w:rPr>
                <w:rFonts w:ascii="楷体" w:hAnsi="楷体" w:cs="仿宋_GB2312" w:eastAsia="楷体" w:hint="eastAsia"/>
              </w:rPr>
              <w:t xml:space="preserve">…</w:t>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95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065"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88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bl>
    <w:p>
      <w:pPr>
        <w:ind w:firstLine="480"/>
        <w:spacing w:before="163"/>
        <w:rPr>
          <w:rFonts w:ascii="楷体" w:hAnsi="楷体" w:eastAsia="楷体"/>
        </w:rPr>
      </w:pPr>
      <w:r>
        <w:rPr>
          <w:rFonts w:ascii="楷体" w:hAnsi="楷体" w:cs="仿宋_GB2312" w:eastAsia="楷体" w:hint="eastAsia"/>
          <w:bCs/>
        </w:rPr>
        <w:t xml:space="preserve">注：大会报告：</w:t>
      </w:r>
      <w:r>
        <w:rPr>
          <w:rFonts w:ascii="楷体" w:hAnsi="楷体" w:cs="仿宋_GB2312" w:eastAsia="楷体" w:hint="eastAsia"/>
        </w:rPr>
        <w:t xml:space="preserve">指特邀报告。</w:t>
      </w:r>
      <w:r/>
    </w:p>
    <w:p>
      <w:pPr>
        <w:ind w:firstLine="480"/>
        <w:spacing w:after="163" w:before="50"/>
        <w:rPr>
          <w:rFonts w:ascii="黑体" w:hAnsi="黑体" w:cs="仿宋_GB2312" w:eastAsia="黑体"/>
        </w:rPr>
      </w:pPr>
      <w:r>
        <w:rPr>
          <w:rFonts w:ascii="黑体" w:hAnsi="黑体" w:cs="仿宋_GB2312" w:eastAsia="黑体"/>
        </w:rPr>
      </w:r>
      <w:r/>
    </w:p>
    <w:p>
      <w:pPr>
        <w:ind w:firstLine="480"/>
        <w:spacing w:after="163" w:before="50"/>
        <w:rPr>
          <w:rFonts w:ascii="黑体" w:hAnsi="黑体" w:cs="仿宋_GB2312" w:eastAsia="黑体"/>
        </w:rPr>
      </w:pPr>
      <w:r>
        <w:rPr>
          <w:rFonts w:ascii="黑体" w:hAnsi="黑体" w:cs="仿宋_GB2312" w:eastAsia="黑体" w:hint="eastAsia"/>
        </w:rPr>
        <w:t xml:space="preserve">4.承办竞赛情况</w:t>
      </w:r>
      <w:r/>
    </w:p>
    <w:tbl>
      <w:tblPr>
        <w:tblW w:w="8516" w:type="dxa"/>
        <w:jc w:val="center"/>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674"/>
        <w:gridCol w:w="1482"/>
        <w:gridCol w:w="1071"/>
        <w:gridCol w:w="1276"/>
        <w:gridCol w:w="974"/>
        <w:gridCol w:w="1010"/>
        <w:gridCol w:w="850"/>
        <w:gridCol w:w="1179"/>
      </w:tblGrid>
      <w:tr>
        <w:trPr>
          <w:jc w:val="center"/>
          <w:trHeight w:val="652"/>
        </w:trPr>
        <w:tc>
          <w:tcPr>
            <w:tcW w:w="674" w:type="dxa"/>
            <w:vAlign w:val="center"/>
            <w:textDirection w:val="lrTb"/>
            <w:noWrap w:val="false"/>
          </w:tcPr>
          <w:p>
            <w:pPr>
              <w:ind w:left="-120" w:right="-120"/>
              <w:jc w:val="center"/>
              <w:rPr>
                <w:rFonts w:ascii="黑体" w:hAnsi="黑体" w:eastAsia="黑体"/>
              </w:rPr>
            </w:pPr>
            <w:r>
              <w:rPr>
                <w:rFonts w:ascii="黑体" w:hAnsi="黑体" w:cs="宋体" w:eastAsia="黑体" w:hint="eastAsia"/>
              </w:rPr>
              <w:t xml:space="preserve">序号</w:t>
            </w:r>
            <w:r/>
          </w:p>
        </w:tc>
        <w:tc>
          <w:tcPr>
            <w:tcW w:w="1482" w:type="dxa"/>
            <w:vAlign w:val="center"/>
            <w:textDirection w:val="lrTb"/>
            <w:noWrap w:val="false"/>
          </w:tcPr>
          <w:p>
            <w:pPr>
              <w:jc w:val="center"/>
              <w:rPr>
                <w:rFonts w:ascii="黑体" w:hAnsi="黑体" w:eastAsia="黑体"/>
              </w:rPr>
            </w:pPr>
            <w:r>
              <w:rPr>
                <w:rFonts w:ascii="黑体" w:hAnsi="黑体" w:cs="宋体" w:eastAsia="黑体" w:hint="eastAsia"/>
              </w:rPr>
              <w:t xml:space="preserve">竞赛名称</w:t>
            </w:r>
            <w:r/>
          </w:p>
        </w:tc>
        <w:tc>
          <w:tcPr>
            <w:tcW w:w="1071" w:type="dxa"/>
            <w:vAlign w:val="center"/>
            <w:textDirection w:val="lrTb"/>
            <w:noWrap w:val="false"/>
          </w:tcPr>
          <w:p>
            <w:pPr>
              <w:jc w:val="center"/>
              <w:rPr>
                <w:rFonts w:ascii="黑体" w:hAnsi="黑体" w:eastAsia="黑体"/>
              </w:rPr>
            </w:pPr>
            <w:r>
              <w:rPr>
                <w:rFonts w:ascii="黑体" w:hAnsi="黑体" w:eastAsia="黑体" w:hint="eastAsia"/>
              </w:rPr>
              <w:t xml:space="preserve">竞赛</w:t>
            </w:r>
            <w:r/>
          </w:p>
          <w:p>
            <w:pPr>
              <w:jc w:val="center"/>
              <w:rPr>
                <w:rFonts w:ascii="黑体" w:hAnsi="黑体" w:eastAsia="黑体"/>
              </w:rPr>
            </w:pPr>
            <w:r>
              <w:rPr>
                <w:rFonts w:ascii="黑体" w:hAnsi="黑体" w:eastAsia="黑体" w:hint="eastAsia"/>
              </w:rPr>
              <w:t xml:space="preserve">级别</w:t>
            </w:r>
            <w:r/>
          </w:p>
        </w:tc>
        <w:tc>
          <w:tcPr>
            <w:tcW w:w="1276" w:type="dxa"/>
            <w:vAlign w:val="center"/>
            <w:textDirection w:val="lrTb"/>
            <w:noWrap w:val="false"/>
          </w:tcPr>
          <w:p>
            <w:pPr>
              <w:jc w:val="center"/>
              <w:rPr>
                <w:rFonts w:ascii="黑体" w:hAnsi="黑体" w:eastAsia="黑体"/>
              </w:rPr>
            </w:pPr>
            <w:r>
              <w:rPr>
                <w:rFonts w:ascii="黑体" w:hAnsi="黑体" w:eastAsia="黑体" w:hint="eastAsia"/>
              </w:rPr>
              <w:t xml:space="preserve">参赛人数</w:t>
            </w:r>
            <w:r/>
          </w:p>
        </w:tc>
        <w:tc>
          <w:tcPr>
            <w:tcW w:w="974" w:type="dxa"/>
            <w:vAlign w:val="center"/>
            <w:textDirection w:val="lrTb"/>
            <w:noWrap w:val="false"/>
          </w:tcPr>
          <w:p>
            <w:pPr>
              <w:jc w:val="center"/>
              <w:rPr>
                <w:rFonts w:ascii="黑体" w:hAnsi="黑体" w:eastAsia="黑体"/>
              </w:rPr>
            </w:pPr>
            <w:r>
              <w:rPr>
                <w:rFonts w:ascii="黑体" w:hAnsi="黑体" w:cs="宋体" w:eastAsia="黑体" w:hint="eastAsia"/>
              </w:rPr>
              <w:t xml:space="preserve">负责人</w:t>
            </w:r>
            <w:r/>
          </w:p>
        </w:tc>
        <w:tc>
          <w:tcPr>
            <w:tcW w:w="1010" w:type="dxa"/>
            <w:vAlign w:val="center"/>
            <w:textDirection w:val="lrTb"/>
            <w:noWrap w:val="false"/>
          </w:tcPr>
          <w:p>
            <w:pPr>
              <w:jc w:val="center"/>
              <w:rPr>
                <w:rFonts w:ascii="黑体" w:hAnsi="黑体" w:eastAsia="黑体"/>
              </w:rPr>
            </w:pPr>
            <w:r>
              <w:rPr>
                <w:rFonts w:ascii="黑体" w:hAnsi="黑体" w:cs="宋体" w:eastAsia="黑体" w:hint="eastAsia"/>
              </w:rPr>
              <w:t xml:space="preserve">职称</w:t>
            </w:r>
            <w:r/>
          </w:p>
        </w:tc>
        <w:tc>
          <w:tcPr>
            <w:tcW w:w="850" w:type="dxa"/>
            <w:vAlign w:val="center"/>
            <w:textDirection w:val="lrTb"/>
            <w:noWrap w:val="false"/>
          </w:tcPr>
          <w:p>
            <w:pPr>
              <w:jc w:val="center"/>
              <w:rPr>
                <w:rFonts w:ascii="黑体" w:hAnsi="黑体" w:eastAsia="黑体"/>
              </w:rPr>
            </w:pPr>
            <w:r>
              <w:rPr>
                <w:rFonts w:ascii="黑体" w:hAnsi="黑体" w:cs="宋体" w:eastAsia="黑体" w:hint="eastAsia"/>
              </w:rPr>
              <w:t xml:space="preserve">起止时间</w:t>
            </w:r>
            <w:r/>
          </w:p>
        </w:tc>
        <w:tc>
          <w:tcPr>
            <w:tcW w:w="1179" w:type="dxa"/>
            <w:vAlign w:val="center"/>
            <w:textDirection w:val="lrTb"/>
            <w:noWrap w:val="false"/>
          </w:tcPr>
          <w:p>
            <w:pPr>
              <w:jc w:val="center"/>
              <w:rPr>
                <w:rFonts w:ascii="黑体" w:hAnsi="黑体" w:eastAsia="黑体"/>
              </w:rPr>
            </w:pPr>
            <w:r>
              <w:rPr>
                <w:rFonts w:ascii="黑体" w:hAnsi="黑体" w:cs="宋体" w:eastAsia="黑体" w:hint="eastAsia"/>
              </w:rPr>
              <w:t xml:space="preserve">总经费（万元）</w:t>
            </w:r>
            <w:r/>
          </w:p>
        </w:tc>
      </w:tr>
      <w:tr>
        <w:trPr>
          <w:jc w:val="center"/>
          <w:trHeight w:val="545"/>
        </w:trPr>
        <w:tc>
          <w:tcPr>
            <w:tcW w:w="674" w:type="dxa"/>
            <w:vAlign w:val="center"/>
            <w:textDirection w:val="lrTb"/>
            <w:noWrap w:val="false"/>
          </w:tcPr>
          <w:p>
            <w:pPr>
              <w:jc w:val="center"/>
              <w:rPr>
                <w:rFonts w:ascii="楷体" w:hAnsi="楷体" w:eastAsia="楷体"/>
              </w:rPr>
            </w:pPr>
            <w:r>
              <w:rPr>
                <w:rFonts w:ascii="楷体" w:hAnsi="楷体" w:eastAsia="楷体" w:hint="eastAsia"/>
              </w:rPr>
              <w:t xml:space="preserve">1</w:t>
            </w:r>
            <w:r/>
          </w:p>
        </w:tc>
        <w:tc>
          <w:tcPr>
            <w:tcW w:w="1482" w:type="dxa"/>
            <w:vAlign w:val="center"/>
            <w:textDirection w:val="lrTb"/>
            <w:noWrap w:val="false"/>
          </w:tcPr>
          <w:p>
            <w:pPr>
              <w:jc w:val="center"/>
              <w:rPr>
                <w:rFonts w:ascii="仿宋" w:hAnsi="仿宋" w:eastAsia="仿宋"/>
                <w:b/>
                <w:bCs/>
                <w:sz w:val="20"/>
                <w:szCs w:val="20"/>
              </w:rPr>
            </w:pPr>
            <w:r>
              <w:rPr>
                <w:rFonts w:ascii="仿宋" w:hAnsi="仿宋" w:eastAsia="仿宋" w:hint="eastAsia"/>
                <w:b/>
                <w:bCs/>
                <w:sz w:val="20"/>
                <w:szCs w:val="20"/>
              </w:rPr>
              <w:t xml:space="preserve">药学技能大赛</w:t>
            </w:r>
            <w:r/>
          </w:p>
        </w:tc>
        <w:tc>
          <w:tcPr>
            <w:tcW w:w="1071" w:type="dxa"/>
            <w:vAlign w:val="center"/>
            <w:textDirection w:val="lrTb"/>
            <w:noWrap w:val="false"/>
          </w:tcPr>
          <w:p>
            <w:pPr>
              <w:jc w:val="center"/>
              <w:rPr>
                <w:rFonts w:ascii="仿宋" w:hAnsi="仿宋" w:eastAsia="仿宋"/>
                <w:b/>
                <w:bCs/>
                <w:sz w:val="20"/>
                <w:szCs w:val="20"/>
              </w:rPr>
            </w:pPr>
            <w:r>
              <w:rPr>
                <w:rFonts w:ascii="仿宋" w:hAnsi="仿宋" w:eastAsia="仿宋"/>
                <w:b/>
                <w:bCs/>
                <w:sz w:val="20"/>
                <w:szCs w:val="20"/>
              </w:rPr>
              <w:t xml:space="preserve">校级</w:t>
            </w:r>
            <w:r/>
          </w:p>
        </w:tc>
        <w:tc>
          <w:tcPr>
            <w:tcW w:w="1276" w:type="dxa"/>
            <w:vAlign w:val="center"/>
            <w:textDirection w:val="lrTb"/>
            <w:noWrap w:val="false"/>
          </w:tcPr>
          <w:p>
            <w:pPr>
              <w:jc w:val="center"/>
              <w:rPr>
                <w:rFonts w:ascii="仿宋" w:hAnsi="仿宋" w:eastAsia="仿宋"/>
                <w:b/>
                <w:bCs/>
                <w:sz w:val="20"/>
                <w:szCs w:val="20"/>
              </w:rPr>
            </w:pPr>
            <w:r>
              <w:rPr>
                <w:rFonts w:ascii="仿宋" w:hAnsi="仿宋" w:eastAsia="仿宋" w:hint="eastAsia"/>
                <w:b/>
                <w:bCs/>
                <w:sz w:val="20"/>
                <w:szCs w:val="20"/>
              </w:rPr>
              <w:t xml:space="preserve">6</w:t>
            </w:r>
            <w:r>
              <w:rPr>
                <w:rFonts w:ascii="仿宋" w:hAnsi="仿宋" w:eastAsia="仿宋"/>
                <w:b/>
                <w:bCs/>
                <w:sz w:val="20"/>
                <w:szCs w:val="20"/>
              </w:rPr>
              <w:t xml:space="preserve">0</w:t>
            </w:r>
            <w:r/>
          </w:p>
        </w:tc>
        <w:tc>
          <w:tcPr>
            <w:tcW w:w="974" w:type="dxa"/>
            <w:vAlign w:val="center"/>
            <w:textDirection w:val="lrTb"/>
            <w:noWrap w:val="false"/>
          </w:tcPr>
          <w:p>
            <w:pPr>
              <w:jc w:val="center"/>
              <w:rPr>
                <w:rFonts w:ascii="仿宋" w:hAnsi="仿宋" w:eastAsia="仿宋"/>
                <w:b/>
                <w:bCs/>
                <w:sz w:val="20"/>
                <w:szCs w:val="20"/>
              </w:rPr>
            </w:pPr>
            <w:r>
              <w:rPr>
                <w:rFonts w:ascii="仿宋" w:hAnsi="仿宋" w:eastAsia="仿宋"/>
                <w:b/>
                <w:bCs/>
                <w:sz w:val="20"/>
                <w:szCs w:val="20"/>
              </w:rPr>
              <w:t xml:space="preserve">何丹</w:t>
            </w:r>
            <w:r/>
          </w:p>
        </w:tc>
        <w:tc>
          <w:tcPr>
            <w:tcW w:w="1010" w:type="dxa"/>
            <w:vAlign w:val="center"/>
            <w:textDirection w:val="lrTb"/>
            <w:noWrap w:val="false"/>
          </w:tcPr>
          <w:p>
            <w:pPr>
              <w:jc w:val="center"/>
              <w:rPr>
                <w:rFonts w:ascii="仿宋" w:hAnsi="仿宋" w:eastAsia="仿宋"/>
                <w:b/>
                <w:bCs/>
                <w:sz w:val="20"/>
                <w:szCs w:val="20"/>
              </w:rPr>
            </w:pPr>
            <w:r>
              <w:rPr>
                <w:rFonts w:ascii="仿宋" w:hAnsi="仿宋" w:eastAsia="仿宋"/>
                <w:b/>
                <w:bCs/>
                <w:sz w:val="20"/>
                <w:szCs w:val="20"/>
              </w:rPr>
              <w:t xml:space="preserve">副教授</w:t>
            </w:r>
            <w:r/>
          </w:p>
        </w:tc>
        <w:tc>
          <w:tcPr>
            <w:tcW w:w="850" w:type="dxa"/>
            <w:vAlign w:val="center"/>
            <w:textDirection w:val="lrTb"/>
            <w:noWrap w:val="false"/>
          </w:tcPr>
          <w:p>
            <w:pPr>
              <w:jc w:val="center"/>
              <w:rPr>
                <w:rFonts w:ascii="仿宋" w:hAnsi="仿宋" w:eastAsia="仿宋"/>
                <w:b/>
                <w:bCs/>
                <w:sz w:val="20"/>
                <w:szCs w:val="20"/>
              </w:rPr>
            </w:pPr>
            <w:r>
              <w:rPr>
                <w:rFonts w:ascii="仿宋" w:hAnsi="仿宋" w:eastAsia="仿宋" w:hint="eastAsia"/>
                <w:b/>
                <w:bCs/>
                <w:sz w:val="20"/>
                <w:szCs w:val="20"/>
              </w:rPr>
              <w:t xml:space="preserve">2</w:t>
            </w:r>
            <w:r>
              <w:rPr>
                <w:rFonts w:ascii="仿宋" w:hAnsi="仿宋" w:eastAsia="仿宋"/>
                <w:b/>
                <w:bCs/>
                <w:sz w:val="20"/>
                <w:szCs w:val="20"/>
              </w:rPr>
              <w:t xml:space="preserve">022</w:t>
            </w:r>
            <w:r>
              <w:rPr>
                <w:rFonts w:ascii="仿宋" w:hAnsi="仿宋" w:eastAsia="仿宋" w:hint="eastAsia"/>
                <w:b/>
                <w:bCs/>
                <w:sz w:val="20"/>
                <w:szCs w:val="20"/>
              </w:rPr>
              <w:t xml:space="preserve">.</w:t>
            </w:r>
            <w:r/>
          </w:p>
          <w:p>
            <w:pPr>
              <w:jc w:val="center"/>
              <w:rPr>
                <w:rFonts w:ascii="仿宋" w:hAnsi="仿宋" w:eastAsia="仿宋"/>
                <w:b/>
                <w:bCs/>
                <w:sz w:val="20"/>
                <w:szCs w:val="20"/>
              </w:rPr>
            </w:pPr>
            <w:r>
              <w:rPr>
                <w:rFonts w:ascii="仿宋" w:hAnsi="仿宋" w:eastAsia="仿宋"/>
                <w:b/>
                <w:bCs/>
                <w:sz w:val="20"/>
                <w:szCs w:val="20"/>
              </w:rPr>
              <w:t xml:space="preserve">10</w:t>
            </w:r>
            <w:r>
              <w:rPr>
                <w:rFonts w:ascii="仿宋" w:hAnsi="仿宋" w:eastAsia="仿宋" w:hint="eastAsia"/>
                <w:b/>
                <w:bCs/>
                <w:sz w:val="20"/>
                <w:szCs w:val="20"/>
              </w:rPr>
              <w:t xml:space="preserve">.</w:t>
            </w:r>
            <w:r>
              <w:rPr>
                <w:rFonts w:ascii="仿宋" w:hAnsi="仿宋" w:eastAsia="仿宋"/>
                <w:b/>
                <w:bCs/>
                <w:sz w:val="20"/>
                <w:szCs w:val="20"/>
              </w:rPr>
              <w:t xml:space="preserve">29</w:t>
            </w:r>
            <w:r/>
          </w:p>
        </w:tc>
        <w:tc>
          <w:tcPr>
            <w:tcW w:w="1179" w:type="dxa"/>
            <w:vAlign w:val="center"/>
            <w:textDirection w:val="lrTb"/>
            <w:noWrap w:val="false"/>
          </w:tcPr>
          <w:p>
            <w:pPr>
              <w:jc w:val="center"/>
              <w:rPr>
                <w:rFonts w:ascii="仿宋" w:hAnsi="仿宋" w:eastAsia="仿宋"/>
                <w:b/>
                <w:bCs/>
                <w:sz w:val="20"/>
                <w:szCs w:val="20"/>
              </w:rPr>
            </w:pPr>
            <w:r>
              <w:rPr>
                <w:rFonts w:ascii="仿宋" w:hAnsi="仿宋" w:eastAsia="仿宋" w:hint="eastAsia"/>
                <w:b/>
                <w:bCs/>
                <w:sz w:val="20"/>
                <w:szCs w:val="20"/>
              </w:rPr>
              <w:t xml:space="preserve">1</w:t>
            </w:r>
            <w:r>
              <w:rPr>
                <w:rFonts w:ascii="仿宋" w:hAnsi="仿宋" w:eastAsia="仿宋"/>
                <w:b/>
                <w:bCs/>
                <w:sz w:val="20"/>
                <w:szCs w:val="20"/>
              </w:rPr>
              <w:t xml:space="preserve">.5</w:t>
            </w:r>
            <w:r/>
          </w:p>
        </w:tc>
      </w:tr>
      <w:tr>
        <w:trPr>
          <w:jc w:val="center"/>
          <w:trHeight w:val="545"/>
        </w:trPr>
        <w:tc>
          <w:tcPr>
            <w:tcW w:w="674" w:type="dxa"/>
            <w:vAlign w:val="center"/>
            <w:textDirection w:val="lrTb"/>
            <w:noWrap w:val="false"/>
          </w:tcPr>
          <w:p>
            <w:pPr>
              <w:jc w:val="center"/>
              <w:rPr>
                <w:rFonts w:ascii="楷体" w:hAnsi="楷体" w:eastAsia="楷体"/>
              </w:rPr>
            </w:pPr>
            <w:r>
              <w:rPr>
                <w:rFonts w:ascii="楷体" w:hAnsi="楷体" w:eastAsia="楷体" w:hint="eastAsia"/>
              </w:rPr>
              <w:t xml:space="preserve">2</w:t>
            </w:r>
            <w:r/>
          </w:p>
        </w:tc>
        <w:tc>
          <w:tcPr>
            <w:tcW w:w="1482"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071" w:type="dxa"/>
            <w:textDirection w:val="lrTb"/>
            <w:noWrap w:val="false"/>
          </w:tcPr>
          <w:p>
            <w:pPr>
              <w:jc w:val="center"/>
              <w:rPr>
                <w:rFonts w:ascii="仿宋" w:hAnsi="仿宋" w:eastAsia="仿宋"/>
                <w:sz w:val="28"/>
                <w:szCs w:val="28"/>
              </w:rPr>
            </w:pPr>
            <w:r>
              <w:rPr>
                <w:rFonts w:ascii="仿宋" w:hAnsi="仿宋" w:eastAsia="仿宋"/>
                <w:sz w:val="28"/>
                <w:szCs w:val="28"/>
              </w:rPr>
            </w:r>
            <w:r/>
          </w:p>
        </w:tc>
        <w:tc>
          <w:tcPr>
            <w:tcW w:w="1276"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974"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010"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850"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c>
          <w:tcPr>
            <w:tcW w:w="1179" w:type="dxa"/>
            <w:vAlign w:val="center"/>
            <w:textDirection w:val="lrTb"/>
            <w:noWrap w:val="false"/>
          </w:tcPr>
          <w:p>
            <w:pPr>
              <w:jc w:val="center"/>
              <w:rPr>
                <w:rFonts w:ascii="仿宋" w:hAnsi="仿宋" w:eastAsia="仿宋"/>
                <w:sz w:val="28"/>
                <w:szCs w:val="28"/>
              </w:rPr>
            </w:pPr>
            <w:r>
              <w:rPr>
                <w:rFonts w:ascii="仿宋" w:hAnsi="仿宋" w:eastAsia="仿宋"/>
                <w:sz w:val="28"/>
                <w:szCs w:val="28"/>
              </w:rPr>
            </w:r>
            <w:r/>
          </w:p>
        </w:tc>
      </w:tr>
    </w:tbl>
    <w:p>
      <w:pPr>
        <w:ind w:firstLine="480"/>
        <w:spacing w:before="163"/>
        <w:rPr>
          <w:rFonts w:ascii="楷体" w:hAnsi="楷体" w:eastAsia="楷体"/>
          <w:color w:val="000000"/>
        </w:rPr>
      </w:pPr>
      <w:r>
        <w:rPr>
          <w:rFonts w:ascii="楷体" w:hAnsi="楷体" w:eastAsia="楷体" w:hint="eastAsia"/>
          <w:bCs/>
        </w:rPr>
        <w:t xml:space="preserve">注：</w:t>
      </w:r>
      <w:r>
        <w:rPr>
          <w:rFonts w:ascii="楷体" w:hAnsi="楷体" w:eastAsia="楷体" w:hint="eastAsia"/>
          <w:bCs/>
          <w:color w:val="000000" w:themeColor="text1"/>
        </w:rPr>
        <w:t xml:space="preserve">竞赛级别</w:t>
      </w:r>
      <w:r>
        <w:rPr>
          <w:rFonts w:ascii="楷体" w:hAnsi="楷体" w:eastAsia="楷体" w:hint="eastAsia"/>
          <w:color w:val="000000" w:themeColor="text1"/>
        </w:rPr>
        <w:t xml:space="preserve">按国家级、省级、校级设立排序。</w:t>
      </w:r>
      <w:r/>
    </w:p>
    <w:p>
      <w:pPr>
        <w:numPr>
          <w:ilvl w:val="0"/>
          <w:numId w:val="2"/>
        </w:numPr>
        <w:ind w:firstLine="480"/>
        <w:spacing w:after="163" w:before="163"/>
        <w:rPr>
          <w:rFonts w:ascii="黑体" w:hAnsi="黑体" w:cs="仿宋_GB2312" w:eastAsia="黑体"/>
        </w:rPr>
      </w:pPr>
      <w:r>
        <w:rPr>
          <w:rFonts w:ascii="黑体" w:hAnsi="黑体" w:cs="仿宋_GB2312" w:eastAsia="黑体" w:hint="eastAsia"/>
        </w:rPr>
        <w:t xml:space="preserve">开展科普活动情况</w:t>
      </w:r>
      <w:r/>
    </w:p>
    <w:tbl>
      <w:tblPr>
        <w:tblStyle w:val="406"/>
        <w:tblW w:w="4885" w:type="pct"/>
        <w:jc w:val="center"/>
        <w:tblLayout w:type="fixed"/>
        <w:tblLook w:val="04A0" w:firstRow="1" w:lastRow="0" w:firstColumn="1" w:lastColumn="0" w:noHBand="0" w:noVBand="1"/>
      </w:tblPr>
      <w:tblGrid>
        <w:gridCol w:w="707"/>
        <w:gridCol w:w="1736"/>
        <w:gridCol w:w="1301"/>
        <w:gridCol w:w="3371"/>
        <w:gridCol w:w="1537"/>
      </w:tblGrid>
      <w:tr>
        <w:trPr>
          <w:jc w:val="center"/>
          <w:trHeight w:val="422"/>
        </w:trPr>
        <w:tc>
          <w:tcPr>
            <w:shd w:val="clear" w:color="auto" w:fill="F2F2F2" w:themeFill="background1" w:themeFillShade="F2"/>
            <w:tcW w:w="409"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序号</w:t>
            </w:r>
            <w:r/>
          </w:p>
        </w:tc>
        <w:tc>
          <w:tcPr>
            <w:shd w:val="clear" w:color="auto" w:fill="F2F2F2" w:themeFill="background1" w:themeFillShade="F2"/>
            <w:tcBorders>
              <w:left w:val="single" w:sz="4" w:space="0" w:color="auto"/>
            </w:tcBorders>
            <w:tcW w:w="1002"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活动名称</w:t>
            </w:r>
            <w:r/>
          </w:p>
        </w:tc>
        <w:tc>
          <w:tcPr>
            <w:shd w:val="clear" w:color="auto" w:fill="F2F2F2" w:themeFill="background1" w:themeFillShade="F2"/>
            <w:tcW w:w="752"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参加人数</w:t>
            </w:r>
            <w:r/>
          </w:p>
        </w:tc>
        <w:tc>
          <w:tcPr>
            <w:shd w:val="clear" w:color="auto" w:fill="F2F2F2" w:themeFill="background1" w:themeFillShade="F2"/>
            <w:tcW w:w="1947"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活动报道网址</w:t>
            </w:r>
            <w:r/>
          </w:p>
        </w:tc>
        <w:tc>
          <w:tcPr>
            <w:shd w:val="clear" w:color="auto" w:fill="F2F2F2" w:themeFill="background1" w:themeFillShade="F2"/>
            <w:tcW w:w="887" w:type="pct"/>
            <w:vAlign w:val="center"/>
            <w:textDirection w:val="lrTb"/>
            <w:noWrap w:val="false"/>
          </w:tcPr>
          <w:p>
            <w:pPr>
              <w:jc w:val="center"/>
              <w:rPr>
                <w:rFonts w:ascii="仿宋" w:hAnsi="仿宋" w:cs="宋体" w:eastAsia="仿宋"/>
                <w:b/>
                <w:bCs/>
              </w:rPr>
            </w:pPr>
            <w:r>
              <w:rPr>
                <w:rFonts w:ascii="仿宋" w:hAnsi="仿宋" w:cs="宋体" w:eastAsia="仿宋" w:hint="eastAsia"/>
                <w:b/>
                <w:bCs/>
              </w:rPr>
              <w:t xml:space="preserve">时间</w:t>
            </w:r>
            <w:r/>
          </w:p>
        </w:tc>
      </w:tr>
      <w:tr>
        <w:trPr>
          <w:jc w:val="center"/>
          <w:trHeight w:val="483"/>
        </w:trPr>
        <w:tc>
          <w:tcPr>
            <w:shd w:val="clear" w:color="auto" w:fill="F2F2F2" w:themeFill="background1" w:themeFillShade="F2"/>
            <w:tcW w:w="409" w:type="pct"/>
            <w:vAlign w:val="center"/>
            <w:textDirection w:val="lrTb"/>
            <w:noWrap w:val="false"/>
          </w:tcPr>
          <w:p>
            <w:pPr>
              <w:jc w:val="center"/>
              <w:rPr>
                <w:rFonts w:ascii="仿宋" w:hAnsi="仿宋" w:cs="仿宋_GB2312" w:eastAsia="仿宋"/>
              </w:rPr>
            </w:pPr>
            <w:r>
              <w:rPr>
                <w:rFonts w:ascii="仿宋" w:hAnsi="仿宋" w:cs="仿宋_GB2312" w:eastAsia="仿宋" w:hint="eastAsia"/>
              </w:rPr>
              <w:t xml:space="preserve">1</w:t>
            </w:r>
            <w:r/>
          </w:p>
        </w:tc>
        <w:tc>
          <w:tcPr>
            <w:shd w:val="clear" w:color="auto" w:fill="F2F2F2" w:themeFill="background1" w:themeFillShade="F2"/>
            <w:tcBorders>
              <w:left w:val="single" w:sz="4" w:space="0" w:color="auto"/>
            </w:tcBorders>
            <w:tcW w:w="1002" w:type="pct"/>
            <w:vAlign w:val="center"/>
            <w:textDirection w:val="lrTb"/>
            <w:noWrap w:val="false"/>
          </w:tcPr>
          <w:p>
            <w:pPr>
              <w:jc w:val="left"/>
              <w:rPr>
                <w:rFonts w:ascii="楷体" w:hAnsi="楷体" w:cs="楷体" w:eastAsia="楷体"/>
                <w:sz w:val="21"/>
                <w:szCs w:val="21"/>
              </w:rPr>
            </w:pPr>
            <w:r>
              <w:rPr>
                <w:rFonts w:ascii="楷体" w:hAnsi="楷体" w:cs="楷体" w:eastAsia="楷体" w:hint="eastAsia"/>
                <w:sz w:val="21"/>
                <w:szCs w:val="21"/>
              </w:rPr>
              <w:t xml:space="preserve">重庆公众健康传播服务中心2022年科技周活动</w:t>
            </w:r>
            <w:r/>
          </w:p>
        </w:tc>
        <w:tc>
          <w:tcPr>
            <w:shd w:val="clear" w:color="auto" w:fill="F2F2F2" w:themeFill="background1" w:themeFillShade="F2"/>
            <w:tcW w:w="752" w:type="pct"/>
            <w:vAlign w:val="center"/>
            <w:textDirection w:val="lrTb"/>
            <w:noWrap w:val="false"/>
          </w:tcPr>
          <w:p>
            <w:pPr>
              <w:jc w:val="center"/>
              <w:rPr>
                <w:rFonts w:ascii="楷体" w:hAnsi="楷体" w:cs="楷体" w:eastAsia="楷体"/>
                <w:sz w:val="21"/>
                <w:szCs w:val="21"/>
              </w:rPr>
            </w:pPr>
            <w:r>
              <w:rPr>
                <w:rFonts w:ascii="楷体" w:hAnsi="楷体" w:cs="楷体" w:eastAsia="楷体" w:hint="eastAsia"/>
                <w:sz w:val="21"/>
                <w:szCs w:val="21"/>
              </w:rPr>
              <w:t xml:space="preserve">69</w:t>
            </w:r>
            <w:r/>
          </w:p>
        </w:tc>
        <w:tc>
          <w:tcPr>
            <w:shd w:val="clear" w:color="auto" w:fill="F2F2F2" w:themeFill="background1" w:themeFillShade="F2"/>
            <w:tcW w:w="1947" w:type="pct"/>
            <w:vAlign w:val="center"/>
            <w:textDirection w:val="lrTb"/>
            <w:noWrap w:val="false"/>
          </w:tcPr>
          <w:p>
            <w:pPr>
              <w:jc w:val="left"/>
              <w:rPr>
                <w:rFonts w:ascii="楷体" w:hAnsi="楷体" w:cs="楷体" w:eastAsia="楷体"/>
                <w:sz w:val="21"/>
                <w:szCs w:val="21"/>
              </w:rPr>
            </w:pPr>
            <w:r/>
            <w:hyperlink r:id="rId26" w:tooltip="https://www.cqmu.edu.cn/info/" w:history="1">
              <w:r>
                <w:rPr>
                  <w:rFonts w:ascii="楷体" w:hAnsi="楷体" w:cs="楷体" w:eastAsia="楷体" w:hint="eastAsia"/>
                  <w:sz w:val="21"/>
                  <w:szCs w:val="21"/>
                </w:rPr>
                <w:t xml:space="preserve">https://www.cqmu.edu.cn/info/</w:t>
              </w:r>
            </w:hyperlink>
            <w:r/>
            <w:r/>
          </w:p>
          <w:p>
            <w:pPr>
              <w:jc w:val="left"/>
              <w:rPr>
                <w:rFonts w:ascii="楷体" w:hAnsi="楷体" w:cs="楷体" w:eastAsia="楷体"/>
                <w:sz w:val="21"/>
                <w:szCs w:val="21"/>
              </w:rPr>
            </w:pPr>
            <w:r>
              <w:rPr>
                <w:rFonts w:ascii="楷体" w:hAnsi="楷体" w:cs="楷体" w:eastAsia="楷体" w:hint="eastAsia"/>
                <w:sz w:val="21"/>
                <w:szCs w:val="21"/>
              </w:rPr>
              <w:t xml:space="preserve">1020/7232.htm</w:t>
            </w:r>
            <w:r/>
          </w:p>
        </w:tc>
        <w:tc>
          <w:tcPr>
            <w:shd w:val="clear" w:color="auto" w:fill="F2F2F2" w:themeFill="background1" w:themeFillShade="F2"/>
            <w:tcW w:w="887" w:type="pct"/>
            <w:vAlign w:val="center"/>
            <w:textDirection w:val="lrTb"/>
            <w:noWrap w:val="false"/>
          </w:tcPr>
          <w:p>
            <w:pPr>
              <w:jc w:val="center"/>
              <w:rPr>
                <w:rFonts w:ascii="楷体" w:hAnsi="楷体" w:cs="楷体" w:eastAsia="楷体"/>
                <w:sz w:val="21"/>
                <w:szCs w:val="21"/>
              </w:rPr>
            </w:pPr>
            <w:r>
              <w:rPr>
                <w:rFonts w:ascii="楷体" w:hAnsi="楷体" w:cs="楷体" w:eastAsia="楷体" w:hint="eastAsia"/>
                <w:sz w:val="21"/>
                <w:szCs w:val="21"/>
              </w:rPr>
              <w:t xml:space="preserve">2022.5.21</w:t>
            </w:r>
            <w:r/>
          </w:p>
        </w:tc>
      </w:tr>
      <w:tr>
        <w:trPr>
          <w:jc w:val="center"/>
          <w:trHeight w:val="483"/>
        </w:trPr>
        <w:tc>
          <w:tcPr>
            <w:shd w:val="clear" w:color="auto" w:fill="F2F2F2" w:themeFill="background1" w:themeFillShade="F2"/>
            <w:tcW w:w="409" w:type="pct"/>
            <w:vAlign w:val="center"/>
            <w:textDirection w:val="lrTb"/>
            <w:noWrap w:val="false"/>
          </w:tcPr>
          <w:p>
            <w:pPr>
              <w:jc w:val="center"/>
              <w:rPr>
                <w:rFonts w:ascii="仿宋" w:hAnsi="仿宋" w:cs="仿宋_GB2312" w:eastAsia="仿宋"/>
              </w:rPr>
            </w:pPr>
            <w:r>
              <w:rPr>
                <w:rFonts w:ascii="仿宋" w:hAnsi="仿宋" w:cs="仿宋_GB2312" w:eastAsia="仿宋" w:hint="eastAsia"/>
              </w:rPr>
              <w:t xml:space="preserve">2</w:t>
            </w:r>
            <w:r/>
          </w:p>
        </w:tc>
        <w:tc>
          <w:tcPr>
            <w:shd w:val="clear" w:color="auto" w:fill="F2F2F2" w:themeFill="background1" w:themeFillShade="F2"/>
            <w:tcBorders>
              <w:left w:val="single" w:sz="4" w:space="0" w:color="auto"/>
            </w:tcBorders>
            <w:tcW w:w="1002"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752"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1947"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887"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r>
      <w:tr>
        <w:trPr>
          <w:jc w:val="center"/>
          <w:trHeight w:val="483"/>
        </w:trPr>
        <w:tc>
          <w:tcPr>
            <w:shd w:val="clear" w:color="auto" w:fill="F2F2F2" w:themeFill="background1" w:themeFillShade="F2"/>
            <w:tcW w:w="409" w:type="pct"/>
            <w:vAlign w:val="center"/>
            <w:textDirection w:val="lrTb"/>
            <w:noWrap w:val="false"/>
          </w:tcPr>
          <w:p>
            <w:pPr>
              <w:jc w:val="center"/>
              <w:rPr>
                <w:rFonts w:ascii="仿宋" w:hAnsi="仿宋" w:cs="仿宋_GB2312" w:eastAsia="仿宋"/>
              </w:rPr>
            </w:pPr>
            <w:r>
              <w:rPr>
                <w:rFonts w:ascii="仿宋" w:hAnsi="仿宋" w:cs="仿宋_GB2312" w:eastAsia="仿宋" w:hint="eastAsia"/>
              </w:rPr>
              <w:t xml:space="preserve">…</w:t>
            </w:r>
            <w:r/>
          </w:p>
        </w:tc>
        <w:tc>
          <w:tcPr>
            <w:shd w:val="clear" w:color="auto" w:fill="F2F2F2" w:themeFill="background1" w:themeFillShade="F2"/>
            <w:tcBorders>
              <w:left w:val="single" w:sz="4" w:space="0" w:color="auto"/>
            </w:tcBorders>
            <w:tcW w:w="1002"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752"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1947"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c>
          <w:tcPr>
            <w:shd w:val="clear" w:color="auto" w:fill="F2F2F2" w:themeFill="background1" w:themeFillShade="F2"/>
            <w:tcW w:w="887" w:type="pct"/>
            <w:vAlign w:val="center"/>
            <w:textDirection w:val="lrTb"/>
            <w:noWrap w:val="false"/>
          </w:tcPr>
          <w:p>
            <w:pPr>
              <w:jc w:val="center"/>
              <w:rPr>
                <w:rFonts w:ascii="仿宋" w:hAnsi="仿宋" w:cs="仿宋_GB2312" w:eastAsia="仿宋"/>
                <w:sz w:val="28"/>
                <w:szCs w:val="28"/>
              </w:rPr>
            </w:pPr>
            <w:r>
              <w:rPr>
                <w:rFonts w:ascii="仿宋" w:hAnsi="仿宋" w:cs="仿宋_GB2312" w:eastAsia="仿宋"/>
                <w:sz w:val="28"/>
                <w:szCs w:val="28"/>
              </w:rPr>
            </w:r>
            <w:r/>
          </w:p>
        </w:tc>
      </w:tr>
    </w:tbl>
    <w:p>
      <w:pPr>
        <w:ind w:firstLine="480"/>
        <w:spacing w:after="163" w:before="163"/>
        <w:rPr>
          <w:rFonts w:ascii="黑体" w:hAnsi="黑体" w:cs="仿宋_GB2312" w:eastAsia="黑体"/>
        </w:rPr>
      </w:pPr>
      <w:r/>
      <w:bookmarkStart w:id="114" w:name="承办培训情况"/>
      <w:r/>
      <w:bookmarkEnd w:id="114"/>
      <w:r>
        <w:rPr>
          <w:rFonts w:ascii="黑体" w:hAnsi="黑体" w:cs="仿宋_GB2312" w:eastAsia="黑体" w:hint="eastAsia"/>
        </w:rPr>
        <w:t xml:space="preserve">6.承办培训情况</w:t>
      </w:r>
      <w:r/>
    </w:p>
    <w:tbl>
      <w:tblPr>
        <w:tblW w:w="8640" w:type="dxa"/>
        <w:jc w:val="center"/>
        <w:tblBorders>
          <w:left w:val="single" w:sz="6" w:space="0" w:color="auto"/>
          <w:top w:val="single" w:sz="6" w:space="0" w:color="auto"/>
          <w:right w:val="single" w:sz="6" w:space="0" w:color="auto"/>
          <w:bottom w:val="single" w:sz="6" w:space="0" w:color="auto"/>
          <w:insideV w:val="single" w:sz="6" w:space="0" w:color="auto"/>
          <w:insideH w:val="single" w:sz="6" w:space="0" w:color="auto"/>
        </w:tblBorders>
        <w:tblLayout w:type="fixed"/>
        <w:tblLook w:val="04A0" w:firstRow="1" w:lastRow="0" w:firstColumn="1" w:lastColumn="0" w:noHBand="0" w:noVBand="1"/>
      </w:tblPr>
      <w:tblGrid>
        <w:gridCol w:w="720"/>
        <w:gridCol w:w="1800"/>
        <w:gridCol w:w="1440"/>
        <w:gridCol w:w="1080"/>
        <w:gridCol w:w="1260"/>
        <w:gridCol w:w="1260"/>
        <w:gridCol w:w="1080"/>
      </w:tblGrid>
      <w:tr>
        <w:trPr>
          <w:jc w:val="center"/>
          <w:trHeight w:val="652"/>
        </w:trPr>
        <w:tc>
          <w:tcPr>
            <w:shd w:val="clear" w:color="auto" w:fill="auto"/>
            <w:tcW w:w="720" w:type="dxa"/>
            <w:vAlign w:val="center"/>
            <w:textDirection w:val="lrTb"/>
            <w:noWrap w:val="false"/>
          </w:tcPr>
          <w:p>
            <w:pPr>
              <w:jc w:val="center"/>
              <w:rPr>
                <w:rFonts w:ascii="黑体" w:hAnsi="黑体" w:eastAsia="黑体"/>
                <w:b/>
              </w:rPr>
            </w:pPr>
            <w:r>
              <w:rPr>
                <w:rFonts w:ascii="黑体" w:hAnsi="黑体" w:cs="宋体" w:eastAsia="黑体" w:hint="eastAsia"/>
                <w:b/>
              </w:rPr>
              <w:t xml:space="preserve">序号</w:t>
            </w:r>
            <w:r/>
          </w:p>
        </w:tc>
        <w:tc>
          <w:tcPr>
            <w:shd w:val="clear" w:color="auto" w:fill="auto"/>
            <w:tcW w:w="1800" w:type="dxa"/>
            <w:vAlign w:val="center"/>
            <w:textDirection w:val="lrTb"/>
            <w:noWrap w:val="false"/>
          </w:tcPr>
          <w:p>
            <w:pPr>
              <w:jc w:val="center"/>
              <w:rPr>
                <w:rFonts w:ascii="黑体" w:hAnsi="黑体" w:eastAsia="黑体"/>
                <w:b/>
              </w:rPr>
            </w:pPr>
            <w:r>
              <w:rPr>
                <w:rFonts w:ascii="黑体" w:hAnsi="黑体" w:cs="宋体" w:eastAsia="黑体" w:hint="eastAsia"/>
                <w:b/>
              </w:rPr>
              <w:t xml:space="preserve">培训项目名称</w:t>
            </w:r>
            <w:r/>
          </w:p>
        </w:tc>
        <w:tc>
          <w:tcPr>
            <w:shd w:val="clear" w:color="auto" w:fill="auto"/>
            <w:tcW w:w="1440" w:type="dxa"/>
            <w:vAlign w:val="center"/>
            <w:textDirection w:val="lrTb"/>
            <w:noWrap w:val="false"/>
          </w:tcPr>
          <w:p>
            <w:pPr>
              <w:jc w:val="center"/>
              <w:rPr>
                <w:rFonts w:ascii="黑体" w:hAnsi="黑体" w:eastAsia="黑体"/>
                <w:b/>
              </w:rPr>
            </w:pPr>
            <w:r>
              <w:rPr>
                <w:rFonts w:ascii="黑体" w:hAnsi="黑体" w:eastAsia="黑体" w:hint="eastAsia"/>
                <w:b/>
              </w:rPr>
              <w:t xml:space="preserve">培训人数</w:t>
            </w:r>
            <w:r/>
          </w:p>
        </w:tc>
        <w:tc>
          <w:tcPr>
            <w:shd w:val="clear" w:color="auto" w:fill="auto"/>
            <w:tcW w:w="1080" w:type="dxa"/>
            <w:vAlign w:val="center"/>
            <w:textDirection w:val="lrTb"/>
            <w:noWrap w:val="false"/>
          </w:tcPr>
          <w:p>
            <w:pPr>
              <w:jc w:val="center"/>
              <w:rPr>
                <w:rFonts w:ascii="黑体" w:hAnsi="黑体" w:eastAsia="黑体"/>
                <w:b/>
              </w:rPr>
            </w:pPr>
            <w:r>
              <w:rPr>
                <w:rFonts w:ascii="黑体" w:hAnsi="黑体" w:cs="宋体" w:eastAsia="黑体" w:hint="eastAsia"/>
                <w:b/>
              </w:rPr>
              <w:t xml:space="preserve">负责人</w:t>
            </w:r>
            <w:r/>
          </w:p>
        </w:tc>
        <w:tc>
          <w:tcPr>
            <w:shd w:val="clear" w:color="auto" w:fill="auto"/>
            <w:tcW w:w="1260" w:type="dxa"/>
            <w:vAlign w:val="center"/>
            <w:textDirection w:val="lrTb"/>
            <w:noWrap w:val="false"/>
          </w:tcPr>
          <w:p>
            <w:pPr>
              <w:jc w:val="center"/>
              <w:rPr>
                <w:rFonts w:ascii="黑体" w:hAnsi="黑体" w:eastAsia="黑体"/>
                <w:b/>
              </w:rPr>
            </w:pPr>
            <w:r>
              <w:rPr>
                <w:rFonts w:ascii="黑体" w:hAnsi="黑体" w:cs="宋体" w:eastAsia="黑体" w:hint="eastAsia"/>
                <w:b/>
              </w:rPr>
              <w:t xml:space="preserve">职称</w:t>
            </w:r>
            <w:r/>
          </w:p>
        </w:tc>
        <w:tc>
          <w:tcPr>
            <w:shd w:val="clear" w:color="auto" w:fill="auto"/>
            <w:tcW w:w="1260" w:type="dxa"/>
            <w:vAlign w:val="center"/>
            <w:textDirection w:val="lrTb"/>
            <w:noWrap w:val="false"/>
          </w:tcPr>
          <w:p>
            <w:pPr>
              <w:jc w:val="center"/>
              <w:rPr>
                <w:rFonts w:ascii="黑体" w:hAnsi="黑体" w:eastAsia="黑体"/>
                <w:b/>
              </w:rPr>
            </w:pPr>
            <w:r>
              <w:rPr>
                <w:rFonts w:ascii="黑体" w:hAnsi="黑体" w:cs="宋体" w:eastAsia="黑体" w:hint="eastAsia"/>
                <w:b/>
              </w:rPr>
              <w:t xml:space="preserve">起止时间</w:t>
            </w:r>
            <w:r/>
          </w:p>
        </w:tc>
        <w:tc>
          <w:tcPr>
            <w:shd w:val="clear" w:color="auto" w:fill="auto"/>
            <w:tcW w:w="1080" w:type="dxa"/>
            <w:vAlign w:val="center"/>
            <w:textDirection w:val="lrTb"/>
            <w:noWrap w:val="false"/>
          </w:tcPr>
          <w:p>
            <w:pPr>
              <w:jc w:val="center"/>
              <w:rPr>
                <w:rFonts w:ascii="黑体" w:hAnsi="黑体" w:eastAsia="黑体"/>
                <w:b/>
              </w:rPr>
            </w:pPr>
            <w:r>
              <w:rPr>
                <w:rFonts w:ascii="黑体" w:hAnsi="黑体" w:cs="宋体" w:eastAsia="黑体" w:hint="eastAsia"/>
                <w:b/>
              </w:rPr>
              <w:t xml:space="preserve">总经费（万元）</w:t>
            </w:r>
            <w:r/>
          </w:p>
        </w:tc>
      </w:tr>
      <w:tr>
        <w:trPr>
          <w:jc w:val="center"/>
          <w:trHeight w:val="563"/>
        </w:trPr>
        <w:tc>
          <w:tcPr>
            <w:shd w:val="clear" w:color="auto" w:fill="auto"/>
            <w:tcW w:w="720" w:type="dxa"/>
            <w:vAlign w:val="center"/>
            <w:textDirection w:val="lrTb"/>
            <w:noWrap w:val="false"/>
          </w:tcPr>
          <w:p>
            <w:pPr>
              <w:jc w:val="center"/>
              <w:spacing w:lineRule="exact" w:line="320"/>
              <w:rPr>
                <w:rFonts w:ascii="楷体" w:hAnsi="楷体" w:eastAsia="楷体"/>
                <w:b/>
                <w:sz w:val="21"/>
                <w:szCs w:val="21"/>
              </w:rPr>
            </w:pPr>
            <w:r>
              <w:rPr>
                <w:rFonts w:ascii="楷体" w:hAnsi="楷体" w:eastAsia="楷体" w:hint="eastAsia"/>
                <w:b/>
                <w:sz w:val="21"/>
                <w:szCs w:val="21"/>
              </w:rPr>
              <w:t xml:space="preserve">1</w:t>
            </w:r>
            <w:r/>
          </w:p>
        </w:tc>
        <w:tc>
          <w:tcPr>
            <w:shd w:val="clear" w:color="auto" w:fill="auto"/>
            <w:tcW w:w="1800" w:type="dxa"/>
            <w:vAlign w:val="center"/>
            <w:textDirection w:val="lrTb"/>
            <w:noWrap w:val="false"/>
          </w:tcPr>
          <w:p>
            <w:pPr>
              <w:jc w:val="left"/>
              <w:rPr>
                <w:rFonts w:ascii="仿宋" w:hAnsi="仿宋" w:eastAsia="仿宋"/>
                <w:sz w:val="28"/>
                <w:szCs w:val="28"/>
              </w:rPr>
            </w:pPr>
            <w:r>
              <w:rPr>
                <w:rFonts w:ascii="仿宋" w:hAnsi="仿宋" w:eastAsia="仿宋" w:hint="eastAsia"/>
                <w:sz w:val="21"/>
                <w:szCs w:val="21"/>
              </w:rPr>
              <w:t xml:space="preserve">4</w:t>
            </w:r>
            <w:r>
              <w:rPr>
                <w:rFonts w:ascii="仿宋" w:hAnsi="仿宋" w:eastAsia="仿宋"/>
                <w:sz w:val="21"/>
                <w:szCs w:val="21"/>
              </w:rPr>
              <w:t xml:space="preserve">6届世界技能大赛化学实验室技术项目培训</w:t>
            </w:r>
            <w:r/>
          </w:p>
        </w:tc>
        <w:tc>
          <w:tcPr>
            <w:shd w:val="clear" w:color="auto" w:fill="auto"/>
            <w:tcW w:w="1440" w:type="dxa"/>
            <w:vAlign w:val="center"/>
            <w:textDirection w:val="lrTb"/>
            <w:noWrap w:val="false"/>
          </w:tcPr>
          <w:p>
            <w:pPr>
              <w:jc w:val="center"/>
              <w:rPr>
                <w:rFonts w:ascii="Times New Roman" w:hAnsi="Times New Roman" w:cs="Times New Roman" w:eastAsia="仿宋"/>
                <w:sz w:val="28"/>
                <w:szCs w:val="28"/>
              </w:rPr>
            </w:pPr>
            <w:r>
              <w:rPr>
                <w:rFonts w:ascii="Times New Roman" w:hAnsi="Times New Roman" w:cs="Times New Roman" w:eastAsia="仿宋"/>
                <w:sz w:val="21"/>
                <w:szCs w:val="21"/>
              </w:rPr>
              <w:t xml:space="preserve">5</w:t>
            </w:r>
            <w:r/>
          </w:p>
        </w:tc>
        <w:tc>
          <w:tcPr>
            <w:shd w:val="clear" w:color="auto" w:fill="auto"/>
            <w:tcW w:w="1080" w:type="dxa"/>
            <w:vAlign w:val="center"/>
            <w:textDirection w:val="lrTb"/>
            <w:noWrap w:val="false"/>
          </w:tcPr>
          <w:p>
            <w:pPr>
              <w:jc w:val="center"/>
              <w:rPr>
                <w:rFonts w:ascii="仿宋" w:hAnsi="仿宋" w:eastAsia="仿宋"/>
                <w:sz w:val="28"/>
                <w:szCs w:val="28"/>
              </w:rPr>
            </w:pPr>
            <w:r>
              <w:rPr>
                <w:rFonts w:ascii="仿宋" w:hAnsi="仿宋" w:eastAsia="仿宋" w:hint="eastAsia"/>
                <w:sz w:val="21"/>
                <w:szCs w:val="21"/>
              </w:rPr>
              <w:t xml:space="preserve">母昭德</w:t>
            </w:r>
            <w:r/>
          </w:p>
        </w:tc>
        <w:tc>
          <w:tcPr>
            <w:shd w:val="clear" w:color="auto" w:fill="auto"/>
            <w:tcW w:w="1260" w:type="dxa"/>
            <w:vAlign w:val="center"/>
            <w:textDirection w:val="lrTb"/>
            <w:noWrap w:val="false"/>
          </w:tcPr>
          <w:p>
            <w:pPr>
              <w:jc w:val="center"/>
              <w:rPr>
                <w:rFonts w:ascii="仿宋" w:hAnsi="仿宋" w:eastAsia="仿宋"/>
                <w:sz w:val="21"/>
                <w:szCs w:val="21"/>
              </w:rPr>
            </w:pPr>
            <w:r>
              <w:rPr>
                <w:rFonts w:ascii="仿宋" w:hAnsi="仿宋" w:eastAsia="仿宋"/>
                <w:sz w:val="21"/>
                <w:szCs w:val="21"/>
              </w:rPr>
              <w:t xml:space="preserve">教授</w:t>
            </w:r>
            <w:r/>
          </w:p>
        </w:tc>
        <w:tc>
          <w:tcPr>
            <w:shd w:val="clear" w:color="auto" w:fill="auto"/>
            <w:tcW w:w="1260" w:type="dxa"/>
            <w:vAlign w:val="center"/>
            <w:textDirection w:val="lrTb"/>
            <w:noWrap w:val="false"/>
          </w:tcPr>
          <w:p>
            <w:pPr>
              <w:jc w:val="center"/>
              <w:rPr>
                <w:rFonts w:ascii="Times New Roman" w:hAnsi="Times New Roman" w:cs="Times New Roman" w:eastAsia="仿宋"/>
                <w:sz w:val="21"/>
                <w:szCs w:val="21"/>
              </w:rPr>
            </w:pPr>
            <w:r>
              <w:rPr>
                <w:rFonts w:ascii="Times New Roman" w:hAnsi="Times New Roman" w:cs="Times New Roman" w:eastAsia="仿宋" w:hint="eastAsia"/>
                <w:sz w:val="21"/>
                <w:szCs w:val="21"/>
              </w:rPr>
              <w:t xml:space="preserve">2</w:t>
            </w:r>
            <w:r>
              <w:rPr>
                <w:rFonts w:ascii="Times New Roman" w:hAnsi="Times New Roman" w:cs="Times New Roman" w:eastAsia="仿宋"/>
                <w:sz w:val="21"/>
                <w:szCs w:val="21"/>
              </w:rPr>
              <w:t xml:space="preserve">022.</w:t>
            </w:r>
            <w:r>
              <w:rPr>
                <w:rFonts w:ascii="Times New Roman" w:hAnsi="Times New Roman" w:cs="Times New Roman" w:eastAsia="仿宋" w:hint="eastAsia"/>
                <w:sz w:val="21"/>
                <w:szCs w:val="21"/>
              </w:rPr>
              <w:t xml:space="preserve">04</w:t>
            </w:r>
            <w:r/>
          </w:p>
        </w:tc>
        <w:tc>
          <w:tcPr>
            <w:shd w:val="clear" w:color="auto" w:fill="auto"/>
            <w:tcW w:w="1080" w:type="dxa"/>
            <w:vAlign w:val="center"/>
            <w:textDirection w:val="lrTb"/>
            <w:noWrap w:val="false"/>
          </w:tcPr>
          <w:p>
            <w:pPr>
              <w:jc w:val="center"/>
              <w:spacing w:lineRule="exact" w:line="320"/>
              <w:rPr>
                <w:rFonts w:ascii="仿宋" w:hAnsi="仿宋" w:eastAsia="仿宋"/>
                <w:b/>
                <w:sz w:val="28"/>
                <w:szCs w:val="28"/>
              </w:rPr>
            </w:pPr>
            <w:r>
              <w:rPr>
                <w:rFonts w:ascii="仿宋" w:hAnsi="仿宋" w:eastAsia="仿宋"/>
                <w:b/>
                <w:sz w:val="28"/>
                <w:szCs w:val="28"/>
              </w:rPr>
            </w:r>
            <w:r/>
          </w:p>
        </w:tc>
      </w:tr>
    </w:tbl>
    <w:p>
      <w:pPr>
        <w:ind w:firstLine="480"/>
        <w:rPr>
          <w:rFonts w:ascii="楷体" w:hAnsi="楷体" w:cs="仿宋_GB2312" w:eastAsia="楷体"/>
        </w:rPr>
      </w:pPr>
      <w:r>
        <w:rPr>
          <w:rFonts w:ascii="楷体" w:hAnsi="楷体" w:cs="仿宋_GB2312" w:eastAsia="楷体" w:hint="eastAsia"/>
        </w:rPr>
        <w:t xml:space="preserve">注：培训项目以正式文件为准，培训人数以签到表为准。</w:t>
      </w:r>
      <w:r/>
    </w:p>
    <w:p>
      <w:pPr>
        <w:ind w:firstLine="560"/>
        <w:spacing w:before="163"/>
        <w:rPr>
          <w:rFonts w:ascii="黑体" w:hAnsi="黑体" w:eastAsia="黑体"/>
          <w:sz w:val="28"/>
          <w:szCs w:val="28"/>
        </w:rPr>
      </w:pPr>
      <w:r>
        <w:rPr>
          <w:rFonts w:ascii="黑体" w:hAnsi="黑体" w:eastAsia="黑体" w:hint="eastAsia"/>
          <w:sz w:val="28"/>
          <w:szCs w:val="28"/>
        </w:rPr>
        <w:t xml:space="preserve">（三）安全工作情况</w:t>
      </w:r>
      <w:r/>
    </w:p>
    <w:tbl>
      <w:tblPr>
        <w:tblStyle w:val="406"/>
        <w:tblW w:w="8516" w:type="dxa"/>
        <w:tblLayout w:type="fixed"/>
        <w:tblLook w:val="04A0" w:firstRow="1" w:lastRow="0" w:firstColumn="1" w:lastColumn="0" w:noHBand="0" w:noVBand="1"/>
      </w:tblPr>
      <w:tblGrid>
        <w:gridCol w:w="2129"/>
        <w:gridCol w:w="2129"/>
        <w:gridCol w:w="4258"/>
      </w:tblGrid>
      <w:tr>
        <w:trPr>
          <w:trHeight w:val="392"/>
        </w:trPr>
        <w:tc>
          <w:tcPr>
            <w:gridSpan w:val="2"/>
            <w:tcW w:w="4258" w:type="dxa"/>
            <w:vAlign w:val="center"/>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安全教育培训情况</w:t>
            </w:r>
            <w:r/>
          </w:p>
        </w:tc>
        <w:tc>
          <w:tcPr>
            <w:tcW w:w="4258" w:type="dxa"/>
            <w:vAlign w:val="center"/>
            <w:textDirection w:val="lrTb"/>
            <w:noWrap w:val="false"/>
          </w:tcPr>
          <w:p>
            <w:pPr>
              <w:jc w:val="center"/>
              <w:rPr>
                <w:rFonts w:ascii="楷体" w:hAnsi="楷体" w:cs="Times New Roman" w:eastAsia="楷体"/>
                <w:bCs/>
              </w:rPr>
            </w:pPr>
            <w:r>
              <w:rPr>
                <w:rFonts w:ascii="楷体" w:hAnsi="楷体" w:cs="Times New Roman" w:eastAsia="楷体" w:hint="eastAsia"/>
                <w:bCs/>
              </w:rPr>
              <w:t xml:space="preserve">2935人次</w:t>
            </w:r>
            <w:r/>
          </w:p>
        </w:tc>
      </w:tr>
      <w:tr>
        <w:trPr>
          <w:trHeight w:val="392"/>
        </w:trPr>
        <w:tc>
          <w:tcPr>
            <w:gridSpan w:val="3"/>
            <w:tcW w:w="8516" w:type="dxa"/>
            <w:vAlign w:val="center"/>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是否发生安全责任事故</w:t>
            </w:r>
            <w:r/>
          </w:p>
        </w:tc>
      </w:tr>
      <w:tr>
        <w:trPr>
          <w:trHeight w:val="392"/>
        </w:trPr>
        <w:tc>
          <w:tcPr>
            <w:gridSpan w:val="2"/>
            <w:tcW w:w="4258" w:type="dxa"/>
            <w:vAlign w:val="center"/>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伤亡人数（人）</w:t>
            </w:r>
            <w:r/>
          </w:p>
        </w:tc>
        <w:tc>
          <w:tcPr>
            <w:tcW w:w="4258" w:type="dxa"/>
            <w:vAlign w:val="center"/>
            <w:vMerge w:val="restart"/>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未发生</w:t>
            </w:r>
            <w:r/>
          </w:p>
        </w:tc>
      </w:tr>
      <w:tr>
        <w:trPr>
          <w:trHeight w:val="392"/>
        </w:trPr>
        <w:tc>
          <w:tcPr>
            <w:tcW w:w="2129" w:type="dxa"/>
            <w:vAlign w:val="center"/>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伤</w:t>
            </w:r>
            <w:r/>
          </w:p>
        </w:tc>
        <w:tc>
          <w:tcPr>
            <w:tcW w:w="2129" w:type="dxa"/>
            <w:vAlign w:val="center"/>
            <w:textDirection w:val="lrTb"/>
            <w:noWrap w:val="false"/>
          </w:tcPr>
          <w:p>
            <w:pPr>
              <w:jc w:val="center"/>
              <w:rPr>
                <w:rFonts w:ascii="黑体" w:hAnsi="黑体" w:cs="Times New Roman" w:eastAsia="黑体"/>
                <w:bCs/>
              </w:rPr>
            </w:pPr>
            <w:r>
              <w:rPr>
                <w:rFonts w:ascii="黑体" w:hAnsi="黑体" w:cs="Times New Roman" w:eastAsia="黑体" w:hint="eastAsia"/>
                <w:bCs/>
              </w:rPr>
              <w:t xml:space="preserve">亡</w:t>
            </w:r>
            <w:r/>
          </w:p>
        </w:tc>
        <w:tc>
          <w:tcPr>
            <w:tcW w:w="4258" w:type="dxa"/>
            <w:vAlign w:val="center"/>
            <w:vMerge w:val="continue"/>
            <w:textDirection w:val="lrTb"/>
            <w:noWrap w:val="false"/>
          </w:tcPr>
          <w:p>
            <w:pPr>
              <w:jc w:val="center"/>
              <w:rPr>
                <w:rFonts w:ascii="仿宋" w:hAnsi="仿宋" w:cs="Times New Roman" w:eastAsia="仿宋"/>
                <w:bCs/>
                <w:sz w:val="28"/>
                <w:szCs w:val="28"/>
              </w:rPr>
            </w:pPr>
            <w:r>
              <w:rPr>
                <w:rFonts w:ascii="仿宋" w:hAnsi="仿宋" w:cs="Times New Roman" w:eastAsia="仿宋"/>
                <w:bCs/>
                <w:sz w:val="28"/>
                <w:szCs w:val="28"/>
              </w:rPr>
            </w:r>
            <w:r/>
          </w:p>
        </w:tc>
      </w:tr>
      <w:tr>
        <w:trPr>
          <w:trHeight w:val="392"/>
        </w:trPr>
        <w:tc>
          <w:tcPr>
            <w:tcW w:w="2129" w:type="dxa"/>
            <w:vAlign w:val="center"/>
            <w:textDirection w:val="lrTb"/>
            <w:noWrap w:val="false"/>
          </w:tcPr>
          <w:p>
            <w:pPr>
              <w:jc w:val="center"/>
              <w:rPr>
                <w:rFonts w:ascii="仿宋" w:hAnsi="仿宋" w:cs="Times New Roman" w:eastAsia="仿宋"/>
                <w:bCs/>
                <w:sz w:val="28"/>
                <w:szCs w:val="28"/>
              </w:rPr>
            </w:pPr>
            <w:r>
              <w:rPr>
                <w:rFonts w:ascii="仿宋" w:hAnsi="仿宋" w:cs="Times New Roman" w:eastAsia="仿宋" w:hint="eastAsia"/>
                <w:bCs/>
                <w:sz w:val="28"/>
                <w:szCs w:val="28"/>
              </w:rPr>
              <w:t xml:space="preserve">0</w:t>
            </w:r>
            <w:r/>
          </w:p>
        </w:tc>
        <w:tc>
          <w:tcPr>
            <w:tcW w:w="2129" w:type="dxa"/>
            <w:vAlign w:val="center"/>
            <w:textDirection w:val="lrTb"/>
            <w:noWrap w:val="false"/>
          </w:tcPr>
          <w:p>
            <w:pPr>
              <w:jc w:val="center"/>
              <w:rPr>
                <w:rFonts w:ascii="仿宋" w:hAnsi="仿宋" w:cs="Times New Roman" w:eastAsia="仿宋"/>
                <w:bCs/>
                <w:sz w:val="28"/>
                <w:szCs w:val="28"/>
              </w:rPr>
            </w:pPr>
            <w:r>
              <w:rPr>
                <w:rFonts w:ascii="仿宋" w:hAnsi="仿宋" w:cs="Times New Roman" w:eastAsia="仿宋" w:hint="eastAsia"/>
                <w:bCs/>
                <w:sz w:val="28"/>
                <w:szCs w:val="28"/>
              </w:rPr>
              <w:t xml:space="preserve">0</w:t>
            </w:r>
            <w:r/>
          </w:p>
        </w:tc>
        <w:tc>
          <w:tcPr>
            <w:tcW w:w="4258" w:type="dxa"/>
            <w:vAlign w:val="center"/>
            <w:textDirection w:val="lrTb"/>
            <w:noWrap w:val="false"/>
          </w:tcPr>
          <w:p>
            <w:pPr>
              <w:jc w:val="center"/>
              <w:rPr>
                <w:rFonts w:ascii="仿宋" w:hAnsi="仿宋" w:cs="Times New Roman" w:eastAsia="仿宋"/>
                <w:bCs/>
                <w:sz w:val="28"/>
                <w:szCs w:val="28"/>
              </w:rPr>
            </w:pPr>
            <w:r>
              <w:rPr>
                <w:rFonts w:ascii="仿宋" w:hAnsi="仿宋" w:cs="Times New Roman" w:eastAsia="仿宋" w:hint="eastAsia"/>
                <w:bCs/>
                <w:sz w:val="28"/>
                <w:szCs w:val="28"/>
              </w:rPr>
              <w:t xml:space="preserve">√</w:t>
            </w:r>
            <w:r/>
          </w:p>
        </w:tc>
      </w:tr>
    </w:tbl>
    <w:p>
      <w:pPr>
        <w:ind w:firstLine="480"/>
        <w:rPr>
          <w:rFonts w:ascii="黑体" w:hAnsi="黑体" w:cs="Times New Roman" w:eastAsia="黑体"/>
          <w:b/>
          <w:bCs/>
          <w:sz w:val="32"/>
          <w:szCs w:val="32"/>
        </w:rPr>
      </w:pPr>
      <w:r>
        <w:rPr>
          <w:rFonts w:ascii="楷体" w:hAnsi="楷体" w:cs="Times New Roman" w:eastAsia="楷体" w:hint="eastAsia"/>
          <w:bCs/>
        </w:rPr>
        <w:t xml:space="preserve">注：安全责任事故以所在高校发布的安全责任事故通报文件为准。如未发生安全责任事故，请在其下方表格打钩。如发生安全责任事故，请说明伤亡人数。</w:t>
      </w:r>
      <w:r/>
    </w:p>
    <w:p>
      <w:pPr>
        <w:pStyle w:val="395"/>
      </w:pPr>
      <w:r>
        <w:rPr>
          <w:rFonts w:hint="eastAsia"/>
        </w:rPr>
        <mc:AlternateContent>
          <mc:Choice Requires="wpg">
            <w:drawing>
              <wp:inline xmlns:wp="http://schemas.openxmlformats.org/drawingml/2006/wordprocessingDrawing" distT="0" distB="0" distL="0" distR="0">
                <wp:extent cx="5630845" cy="2767192"/>
                <wp:effectExtent l="0" t="0" r="8255" b="0"/>
                <wp:docPr id="15" name="图片 5"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8" name="22年封底.jpg" hidden="0"/>
                        <pic:cNvPicPr>
                          <a:picLocks noChangeAspect="1"/>
                        </pic:cNvPicPr>
                      </pic:nvPicPr>
                      <pic:blipFill>
                        <a:blip r:embed="rId27"/>
                        <a:srcRect l="4903" t="6540" r="0" b="60172"/>
                        <a:stretch/>
                      </pic:blipFill>
                      <pic:spPr bwMode="auto">
                        <a:xfrm>
                          <a:off x="0" y="0"/>
                          <a:ext cx="5639298" cy="2771346"/>
                        </a:xfrm>
                        <a:prstGeom prst="rect">
                          <a:avLst/>
                        </a:prstGeom>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4" o:spid="_x0000_s14" type="#_x0000_t75" style="mso-wrap-distance-left:0.0pt;mso-wrap-distance-top:0.0pt;mso-wrap-distance-right:0.0pt;mso-wrap-distance-bottom:0.0pt;width:443.4pt;height:217.9pt;">
                <v:path textboxrect="0,0,0,0"/>
                <v:imagedata r:id="rId27" o:title=""/>
              </v:shape>
            </w:pict>
          </mc:Fallback>
        </mc:AlternateContent>
      </w:r>
      <w:r/>
    </w:p>
    <w:p>
      <w:pPr>
        <w:jc w:val="left"/>
        <w:widowControl/>
        <w:rPr>
          <w:rFonts w:ascii="宋体" w:hAnsi="宋体" w:cs="宋体" w:eastAsia="宋体"/>
        </w:rPr>
      </w:pPr>
      <w:r/>
      <w:bookmarkStart w:id="115" w:name="_GoBack"/>
      <w:r>
        <w:rPr>
          <w:rFonts w:ascii="宋体" w:hAnsi="宋体" w:cs="宋体" w:eastAsia="宋体"/>
        </w:rPr>
        <mc:AlternateContent>
          <mc:Choice Requires="wpg">
            <w:drawing>
              <wp:inline xmlns:wp="http://schemas.openxmlformats.org/drawingml/2006/wordprocessingDrawing" distT="0" distB="0" distL="0" distR="0">
                <wp:extent cx="5853342" cy="4560425"/>
                <wp:effectExtent l="0" t="0" r="0" b="0"/>
                <wp:docPr id="16" name="图片 13" descr="C:\Users\Administrator\AppData\Roaming\Tencent\Users\34299281\QQ\WinTemp\RichOle\DU{LVKF86J{%00P0(3%CL]P.png" hidden="false"/>
                <wp:cNvGraphicFramePr>
                  <a:graphicFrameLocks xmlns:a="http://schemas.openxmlformats.org/drawingml/2006/main" noChangeAspect="true"/>
                </wp:cNvGraphicFramePr>
                <a:graphic xmlns:a="http://schemas.openxmlformats.org/drawingml/2006/main">
                  <a:graphicData uri="http://schemas.openxmlformats.org/drawingml/2006/picture">
                    <pic:pic xmlns:pic="http://schemas.openxmlformats.org/drawingml/2006/picture">
                      <pic:nvPicPr>
                        <pic:cNvPr id="19" name="Picture 2" descr="C:\Users\Administrator\AppData\Roaming\Tencent\Users\34299281\QQ\WinTemp\RichOle\DU{LVKF86J{%00P0(3%CL]P.png" hidden="0"/>
                        <pic:cNvPicPr>
                          <a:picLocks noChangeAspect="1"/>
                        </pic:cNvPicPr>
                      </pic:nvPicPr>
                      <pic:blipFill>
                        <a:blip r:embed="rId28"/>
                        <a:stretch/>
                      </pic:blipFill>
                      <pic:spPr bwMode="auto">
                        <a:xfrm>
                          <a:off x="0" y="0"/>
                          <a:ext cx="5872638" cy="4575459"/>
                        </a:xfrm>
                        <a:prstGeom prst="rect">
                          <a:avLst/>
                        </a:prstGeom>
                        <a:noFill/>
                        <a:ln>
                          <a:noFill/>
                        </a:ln>
                      </pic:spPr>
                    </pic:pic>
                  </a:graphicData>
                </a:graphic>
              </wp:inline>
            </w:drawing>
          </mc:Choice>
          <mc:Fallback>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5" o:spid="_x0000_s15" type="#_x0000_t75" style="mso-wrap-distance-left:0.0pt;mso-wrap-distance-top:0.0pt;mso-wrap-distance-right:0.0pt;mso-wrap-distance-bottom:0.0pt;width:460.9pt;height:359.1pt;">
                <v:path textboxrect="0,0,0,0"/>
                <v:imagedata r:id="rId28" o:title=""/>
              </v:shape>
            </w:pict>
          </mc:Fallback>
        </mc:AlternateContent>
      </w:r>
      <w:bookmarkEnd w:id="115"/>
      <w:r/>
      <w:r/>
    </w:p>
    <w:p>
      <w:r/>
      <w:r/>
    </w:p>
    <w:sectPr>
      <w:footerReference w:type="default" r:id="rId9"/>
      <w:footnotePr/>
      <w:type w:val="nextPage"/>
      <w:pgSz w:w="11900" w:h="16840" w:orient="portrait"/>
      <w:pgMar w:top="1440" w:right="1460" w:bottom="1440" w:left="1800" w:header="851" w:footer="992" w:gutter="0"/>
      <w:cols w:num="1" w:sep="0" w:space="425" w:equalWidth="1"/>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仿宋">
    <w:panose1 w:val="02020603020101020101"/>
  </w:font>
  <w:font w:name="MS Mincho">
    <w:panose1 w:val="02070609020205090404"/>
  </w:font>
  <w:font w:name="楷体_gb2312">
    <w:panose1 w:val="020B0603030804020204"/>
  </w:font>
  <w:font w:name="仿宋_gb2312">
    <w:panose1 w:val="020B0603030804020204"/>
  </w:font>
  <w:font w:name="黑体">
    <w:panose1 w:val="02020603020101020101"/>
  </w:font>
  <w:font w:name="楷体">
    <w:panose1 w:val="02020603020101020101"/>
  </w:font>
  <w:font w:name="Symbol">
    <w:panose1 w:val="05010000000000000000"/>
  </w:font>
  <w:font w:name="Wingdings">
    <w:panose1 w:val="05010000000000000000"/>
  </w:font>
  <w:font w:name="Courier New">
    <w:panose1 w:val="02070309020205020404"/>
  </w:font>
  <w:font w:name="微软雅黑">
    <w:panose1 w:val="020B0603020202020204"/>
  </w:font>
  <w:font w:name="Calibri">
    <w:panose1 w:val="020F0502020204030204"/>
  </w:font>
  <w:font w:name="Arial">
    <w:panose1 w:val="020B0604020202020204"/>
  </w:font>
  <w:font w:name="宋体">
    <w:panose1 w:val="02020603020101020101"/>
  </w:font>
  <w:font w:name="Times New Roman">
    <w:panose1 w:val="02020603050405020304"/>
  </w:font>
  <w:font w:name="Cambria">
    <w:panose1 w:val="020206030504050203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354409577"/>
      <w:rPr/>
    </w:sdtPr>
    <w:sdtContent>
      <w:p>
        <w:pPr>
          <w:pStyle w:val="402"/>
          <w:jc w:val="center"/>
        </w:pPr>
        <w:r>
          <w:fldChar w:fldCharType="begin"/>
        </w:r>
        <w:r>
          <w:instrText xml:space="preserve">PAGE   \* MERGEFORMAT</w:instrText>
        </w:r>
        <w:r>
          <w:fldChar w:fldCharType="separate"/>
        </w:r>
        <w:r>
          <w:rPr>
            <w:lang w:val="zh-CN"/>
          </w:rPr>
          <w:t xml:space="preserve">2</w:t>
        </w:r>
        <w:r>
          <w:fldChar w:fldCharType="end"/>
        </w:r>
        <w:r/>
      </w:p>
    </w:sdtContent>
  </w:sdt>
  <w:p>
    <w:pPr>
      <w:pStyle w:val="402"/>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sdt>
    <w:sdtPr>
      <w15:appearance w15:val="boundingBox"/>
      <w:id w:val="1859009513"/>
      <w:rPr/>
    </w:sdtPr>
    <w:sdtContent>
      <w:p>
        <w:pPr>
          <w:pStyle w:val="402"/>
          <w:jc w:val="center"/>
        </w:pPr>
        <w:r>
          <w:fldChar w:fldCharType="begin"/>
        </w:r>
        <w:r>
          <w:instrText xml:space="preserve">PAGE   \* MERGEFORMAT</w:instrText>
        </w:r>
        <w:r>
          <w:fldChar w:fldCharType="separate"/>
        </w:r>
        <w:r>
          <w:rPr>
            <w:lang w:val="zh-CN"/>
          </w:rPr>
          <w:t xml:space="preserve">52</w:t>
        </w:r>
        <w:r>
          <w:rPr>
            <w:lang w:val="zh-CN"/>
          </w:rPr>
          <w:fldChar w:fldCharType="end"/>
        </w:r>
        <w:r/>
      </w:p>
    </w:sdtContent>
  </w:sdt>
  <w:p>
    <w:pPr>
      <w:pStyle w:val="402"/>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p14">
  <w:footnote w:type="separator" w:id="-1">
    <w:p>
      <w:r>
        <w:separator/>
      </w:r>
      <w:r/>
    </w:p>
  </w:footnote>
  <w:footnote w:type="continuationSeparator" w:id="0">
    <w:p>
      <w:r>
        <w:continuationSeparator/>
      </w: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multiLevelType w:val="hybridMultilevel"/>
    <w:lvl w:ilvl="0">
      <w:start w:val="5"/>
      <w:numFmt w:val="decimal"/>
      <w:isLgl w:val="false"/>
      <w:suff w:val="tab"/>
      <w:lvlText w:val="%1."/>
      <w:lvlJc w:val="left"/>
      <w:pPr>
        <w:tabs>
          <w:tab w:val="left" w:pos="312" w:leader="none"/>
        </w:tabs>
      </w:p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abstractNum w:abstractNumId="1">
    <w:multiLevelType w:val="hybridMultilevel"/>
    <w:lvl w:ilvl="0">
      <w:start w:val="2"/>
      <w:numFmt w:val="decimal"/>
      <w:isLgl w:val="false"/>
      <w:suff w:val="nothing"/>
      <w:lvlText w:val="（%1）"/>
      <w:lvlJc w:val="left"/>
      <w:pPr/>
      <w:rPr>
        <w:rFonts w:hint="eastAsia"/>
      </w:rPr>
    </w:lvl>
    <w:lvl w:ilvl="1">
      <w:start w:val="1"/>
      <w:numFmt w:val="bullet"/>
      <w:isLgl w:val="false"/>
      <w:suff w:val="tab"/>
      <w:lvlText w:val="o"/>
      <w:lvlJc w:val="left"/>
      <w:pPr>
        <w:ind w:left="1440" w:hanging="360"/>
      </w:pPr>
      <w:rPr>
        <w:rFonts w:ascii="Courier New" w:hAnsi="Courier New" w:cs="Courier New" w:eastAsia="Courier New" w:hint="default"/>
      </w:rPr>
    </w:lvl>
    <w:lvl w:ilvl="2">
      <w:start w:val="1"/>
      <w:numFmt w:val="bullet"/>
      <w:isLgl w:val="false"/>
      <w:suff w:val="tab"/>
      <w:lvlText w:val="§"/>
      <w:lvlJc w:val="left"/>
      <w:pPr>
        <w:ind w:left="2160" w:hanging="360"/>
      </w:pPr>
      <w:rPr>
        <w:rFonts w:ascii="Wingdings" w:hAnsi="Wingdings" w:cs="Wingdings" w:eastAsia="Wingdings" w:hint="default"/>
      </w:rPr>
    </w:lvl>
    <w:lvl w:ilvl="3">
      <w:start w:val="1"/>
      <w:numFmt w:val="bullet"/>
      <w:isLgl w:val="false"/>
      <w:suff w:val="tab"/>
      <w:lvlText w:val="·"/>
      <w:lvlJc w:val="left"/>
      <w:pPr>
        <w:ind w:left="2880" w:hanging="360"/>
      </w:pPr>
      <w:rPr>
        <w:rFonts w:ascii="Symbol" w:hAnsi="Symbol" w:cs="Symbol" w:eastAsia="Symbol" w:hint="default"/>
      </w:rPr>
    </w:lvl>
    <w:lvl w:ilvl="4">
      <w:start w:val="1"/>
      <w:numFmt w:val="bullet"/>
      <w:isLgl w:val="false"/>
      <w:suff w:val="tab"/>
      <w:lvlText w:val="o"/>
      <w:lvlJc w:val="left"/>
      <w:pPr>
        <w:ind w:left="3600" w:hanging="360"/>
      </w:pPr>
      <w:rPr>
        <w:rFonts w:ascii="Courier New" w:hAnsi="Courier New" w:cs="Courier New" w:eastAsia="Courier New" w:hint="default"/>
      </w:rPr>
    </w:lvl>
    <w:lvl w:ilvl="5">
      <w:start w:val="1"/>
      <w:numFmt w:val="bullet"/>
      <w:isLgl w:val="false"/>
      <w:suff w:val="tab"/>
      <w:lvlText w:val="§"/>
      <w:lvlJc w:val="left"/>
      <w:pPr>
        <w:ind w:left="4320" w:hanging="360"/>
      </w:pPr>
      <w:rPr>
        <w:rFonts w:ascii="Wingdings" w:hAnsi="Wingdings" w:cs="Wingdings" w:eastAsia="Wingdings" w:hint="default"/>
      </w:rPr>
    </w:lvl>
    <w:lvl w:ilvl="6">
      <w:start w:val="1"/>
      <w:numFmt w:val="bullet"/>
      <w:isLgl w:val="false"/>
      <w:suff w:val="tab"/>
      <w:lvlText w:val="·"/>
      <w:lvlJc w:val="left"/>
      <w:pPr>
        <w:ind w:left="5040" w:hanging="360"/>
      </w:pPr>
      <w:rPr>
        <w:rFonts w:ascii="Symbol" w:hAnsi="Symbol" w:cs="Symbol" w:eastAsia="Symbol" w:hint="default"/>
      </w:rPr>
    </w:lvl>
    <w:lvl w:ilvl="7">
      <w:start w:val="1"/>
      <w:numFmt w:val="bullet"/>
      <w:isLgl w:val="false"/>
      <w:suff w:val="tab"/>
      <w:lvlText w:val="o"/>
      <w:lvlJc w:val="left"/>
      <w:pPr>
        <w:ind w:left="5760" w:hanging="360"/>
      </w:pPr>
      <w:rPr>
        <w:rFonts w:ascii="Courier New" w:hAnsi="Courier New" w:cs="Courier New" w:eastAsia="Courier New" w:hint="default"/>
      </w:rPr>
    </w:lvl>
    <w:lvl w:ilvl="8">
      <w:start w:val="1"/>
      <w:numFmt w:val="bullet"/>
      <w:isLgl w:val="false"/>
      <w:suff w:val="tab"/>
      <w:lvlText w:val="§"/>
      <w:lvlJc w:val="left"/>
      <w:pPr>
        <w:ind w:left="6480" w:hanging="360"/>
      </w:pPr>
      <w:rPr>
        <w:rFonts w:ascii="Wingdings" w:hAnsi="Wingdings" w:cs="Wingdings" w:eastAsia="Wingdings" w:hint="default"/>
      </w:rPr>
    </w:lvl>
  </w:abstractNum>
  <w:num w:numId="1">
    <w:abstractNumId w:val="1"/>
  </w:num>
  <w:num w:numId="2">
    <w:abstractNumId w:val="0"/>
  </w:num>
</w:numbering>
</file>

<file path=word/settings.xml><?xml version="1.0" encoding="utf-8"?>
<w:settings xmlns:w="http://schemas.openxmlformats.org/wordprocessingml/2006/main" xmlns:m="http://schemas.openxmlformats.org/officeDocument/2006/math" xmlns:o="urn:schemas-microsoft-com:office:office" xmlns:v="urn:schemas-microsoft-com:vml">
  <w:clrSchemeMapping w:accent1="accent1" w:accent2="accent2" w:accent3="accent3" w:accent4="accent4" w:accent5="accent5" w:accent6="accent6" w:bg1="light1" w:bg2="light2" w:followedHyperlink="followedHyperlink" w:hyperlink="hyperlink" w:t1="dark1" w:t2="dark2"/>
  <w:defaultTabStop w:val="420"/>
  <m:mathPr>
    <m:brkBin m:val="before"/>
    <m:defJc m:val="centerGroup"/>
    <m:intLim m:val="subSup"/>
    <m:lMargin m:val="0"/>
    <m:mathFont m:val="Cambria Math"/>
    <m:naryLim m:val="undOvr"/>
    <m:rMargin m:val="0"/>
    <m:smallFrac m:val="on"/>
    <m:wrapIndent m:val="1440"/>
  </m:mathPr>
  <w:trackRevisions w:val="false"/>
  <w:footnotePr>
    <w:footnote w:id="-1"/>
    <w:footnote w:id="0"/>
    <w:numFmt w:val="decimal"/>
    <w:numRestart w:val="continuous"/>
    <w:numStart w:val="1"/>
    <w:pos w:val="pageBottom"/>
  </w:footnotePr>
  <w:decimalSymbol w:val="."/>
  <w:listSeparator w:val=","/>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zoom w:percent="100"/>
  <w:characterSpacingControl w:val="doNotCompress"/>
  <w:themeFontLang w:val="en-US" w:eastAsia="zh-CN"/>
  <w:shapeDefaults>
    <o:shapedefaults v:ext="edit" spidmax="1026"/>
    <o:shapelayout v:ext="edit">
      <o:idmap v:ext="edit" data="1"/>
    </o:shapelayout>
  </w:shapeDefault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cs="Times New Roman" w:eastAsia="宋体"/>
        <w:color w:val="auto"/>
        <w:spacing w:val="0"/>
        <w:position w:val="0"/>
        <w:sz w:val="20"/>
        <w:szCs w:val="22"/>
        <w:lang w:val="en-US" w:bidi="ar-SA" w:eastAsia="zh-CN"/>
      </w:rPr>
    </w:rPrDefault>
    <w:pPrDefault>
      <w:pPr>
        <w:ind w:left="0" w:right="0" w:firstLine="0"/>
        <w:jc w:val="left"/>
        <w:spacing w:lineRule="auto" w:line="240" w:after="0" w:afterAutospacing="0" w:before="0" w:beforeAutospacing="0"/>
        <w:shd w:val="nil" w:color="auto" w:fill="FFFFFF"/>
        <w:pBdr>
          <w:left w:val="none" w:color="000000" w:sz="4" w:space="0"/>
          <w:top w:val="none" w:color="000000" w:sz="4" w:space="0"/>
          <w:right w:val="none" w:color="000000" w:sz="4" w:space="0"/>
          <w:bottom w:val="none" w:color="000000" w:sz="4" w:space="0"/>
          <w:between w:val="none" w:color="000000" w:sz="4" w:space="0"/>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character" w:styleId="12">
    <w:name w:val="Heading 1 Char"/>
    <w:basedOn w:val="396"/>
    <w:link w:val="395"/>
    <w:uiPriority w:val="9"/>
    <w:rPr>
      <w:rFonts w:ascii="Arial" w:hAnsi="Arial" w:cs="Arial" w:eastAsia="Arial"/>
      <w:sz w:val="40"/>
      <w:szCs w:val="40"/>
    </w:rPr>
  </w:style>
  <w:style w:type="paragraph" w:styleId="13">
    <w:name w:val="Heading 2"/>
    <w:basedOn w:val="394"/>
    <w:next w:val="394"/>
    <w:link w:val="14"/>
    <w:qFormat/>
    <w:uiPriority w:val="9"/>
    <w:unhideWhenUsed/>
    <w:rPr>
      <w:rFonts w:ascii="Arial" w:hAnsi="Arial" w:cs="Arial" w:eastAsia="Arial"/>
      <w:sz w:val="34"/>
    </w:rPr>
    <w:pPr>
      <w:keepLines/>
      <w:keepNext/>
      <w:spacing w:after="200" w:before="360"/>
      <w:outlineLvl w:val="1"/>
    </w:pPr>
  </w:style>
  <w:style w:type="character" w:styleId="14">
    <w:name w:val="Heading 2 Char"/>
    <w:basedOn w:val="396"/>
    <w:link w:val="13"/>
    <w:uiPriority w:val="9"/>
    <w:rPr>
      <w:rFonts w:ascii="Arial" w:hAnsi="Arial" w:cs="Arial" w:eastAsia="Arial"/>
      <w:sz w:val="34"/>
    </w:rPr>
  </w:style>
  <w:style w:type="paragraph" w:styleId="15">
    <w:name w:val="Heading 3"/>
    <w:basedOn w:val="394"/>
    <w:next w:val="394"/>
    <w:link w:val="16"/>
    <w:qFormat/>
    <w:uiPriority w:val="9"/>
    <w:unhideWhenUsed/>
    <w:rPr>
      <w:rFonts w:ascii="Arial" w:hAnsi="Arial" w:cs="Arial" w:eastAsia="Arial"/>
      <w:sz w:val="30"/>
      <w:szCs w:val="30"/>
    </w:rPr>
    <w:pPr>
      <w:keepLines/>
      <w:keepNext/>
      <w:spacing w:after="200" w:before="320"/>
      <w:outlineLvl w:val="2"/>
    </w:pPr>
  </w:style>
  <w:style w:type="character" w:styleId="16">
    <w:name w:val="Heading 3 Char"/>
    <w:basedOn w:val="396"/>
    <w:link w:val="15"/>
    <w:uiPriority w:val="9"/>
    <w:rPr>
      <w:rFonts w:ascii="Arial" w:hAnsi="Arial" w:cs="Arial" w:eastAsia="Arial"/>
      <w:sz w:val="30"/>
      <w:szCs w:val="30"/>
    </w:rPr>
  </w:style>
  <w:style w:type="paragraph" w:styleId="17">
    <w:name w:val="Heading 4"/>
    <w:basedOn w:val="394"/>
    <w:next w:val="394"/>
    <w:link w:val="18"/>
    <w:qFormat/>
    <w:uiPriority w:val="9"/>
    <w:unhideWhenUsed/>
    <w:rPr>
      <w:rFonts w:ascii="Arial" w:hAnsi="Arial" w:cs="Arial" w:eastAsia="Arial"/>
      <w:b/>
      <w:bCs/>
      <w:sz w:val="26"/>
      <w:szCs w:val="26"/>
    </w:rPr>
    <w:pPr>
      <w:keepLines/>
      <w:keepNext/>
      <w:spacing w:after="200" w:before="320"/>
      <w:outlineLvl w:val="3"/>
    </w:pPr>
  </w:style>
  <w:style w:type="character" w:styleId="18">
    <w:name w:val="Heading 4 Char"/>
    <w:basedOn w:val="396"/>
    <w:link w:val="17"/>
    <w:uiPriority w:val="9"/>
    <w:rPr>
      <w:rFonts w:ascii="Arial" w:hAnsi="Arial" w:cs="Arial" w:eastAsia="Arial"/>
      <w:b/>
      <w:bCs/>
      <w:sz w:val="26"/>
      <w:szCs w:val="26"/>
    </w:rPr>
  </w:style>
  <w:style w:type="paragraph" w:styleId="19">
    <w:name w:val="Heading 5"/>
    <w:basedOn w:val="394"/>
    <w:next w:val="394"/>
    <w:link w:val="20"/>
    <w:qFormat/>
    <w:uiPriority w:val="9"/>
    <w:unhideWhenUsed/>
    <w:rPr>
      <w:rFonts w:ascii="Arial" w:hAnsi="Arial" w:cs="Arial" w:eastAsia="Arial"/>
      <w:b/>
      <w:bCs/>
      <w:sz w:val="24"/>
      <w:szCs w:val="24"/>
    </w:rPr>
    <w:pPr>
      <w:keepLines/>
      <w:keepNext/>
      <w:spacing w:after="200" w:before="320"/>
      <w:outlineLvl w:val="4"/>
    </w:pPr>
  </w:style>
  <w:style w:type="character" w:styleId="20">
    <w:name w:val="Heading 5 Char"/>
    <w:basedOn w:val="396"/>
    <w:link w:val="19"/>
    <w:uiPriority w:val="9"/>
    <w:rPr>
      <w:rFonts w:ascii="Arial" w:hAnsi="Arial" w:cs="Arial" w:eastAsia="Arial"/>
      <w:b/>
      <w:bCs/>
      <w:sz w:val="24"/>
      <w:szCs w:val="24"/>
    </w:rPr>
  </w:style>
  <w:style w:type="paragraph" w:styleId="21">
    <w:name w:val="Heading 6"/>
    <w:basedOn w:val="394"/>
    <w:next w:val="394"/>
    <w:link w:val="22"/>
    <w:qFormat/>
    <w:uiPriority w:val="9"/>
    <w:unhideWhenUsed/>
    <w:rPr>
      <w:rFonts w:ascii="Arial" w:hAnsi="Arial" w:cs="Arial" w:eastAsia="Arial"/>
      <w:b/>
      <w:bCs/>
      <w:sz w:val="22"/>
      <w:szCs w:val="22"/>
    </w:rPr>
    <w:pPr>
      <w:keepLines/>
      <w:keepNext/>
      <w:spacing w:after="200" w:before="320"/>
      <w:outlineLvl w:val="5"/>
    </w:pPr>
  </w:style>
  <w:style w:type="character" w:styleId="22">
    <w:name w:val="Heading 6 Char"/>
    <w:basedOn w:val="396"/>
    <w:link w:val="21"/>
    <w:uiPriority w:val="9"/>
    <w:rPr>
      <w:rFonts w:ascii="Arial" w:hAnsi="Arial" w:cs="Arial" w:eastAsia="Arial"/>
      <w:b/>
      <w:bCs/>
      <w:sz w:val="22"/>
      <w:szCs w:val="22"/>
    </w:rPr>
  </w:style>
  <w:style w:type="paragraph" w:styleId="23">
    <w:name w:val="Heading 7"/>
    <w:basedOn w:val="394"/>
    <w:next w:val="394"/>
    <w:link w:val="24"/>
    <w:qFormat/>
    <w:uiPriority w:val="9"/>
    <w:unhideWhenUsed/>
    <w:rPr>
      <w:rFonts w:ascii="Arial" w:hAnsi="Arial" w:cs="Arial" w:eastAsia="Arial"/>
      <w:b/>
      <w:bCs/>
      <w:i/>
      <w:iCs/>
      <w:sz w:val="22"/>
      <w:szCs w:val="22"/>
    </w:rPr>
    <w:pPr>
      <w:keepLines/>
      <w:keepNext/>
      <w:spacing w:after="200" w:before="320"/>
      <w:outlineLvl w:val="6"/>
    </w:pPr>
  </w:style>
  <w:style w:type="character" w:styleId="24">
    <w:name w:val="Heading 7 Char"/>
    <w:basedOn w:val="396"/>
    <w:link w:val="23"/>
    <w:uiPriority w:val="9"/>
    <w:rPr>
      <w:rFonts w:ascii="Arial" w:hAnsi="Arial" w:cs="Arial" w:eastAsia="Arial"/>
      <w:b/>
      <w:bCs/>
      <w:i/>
      <w:iCs/>
      <w:sz w:val="22"/>
      <w:szCs w:val="22"/>
    </w:rPr>
  </w:style>
  <w:style w:type="paragraph" w:styleId="25">
    <w:name w:val="Heading 8"/>
    <w:basedOn w:val="394"/>
    <w:next w:val="394"/>
    <w:link w:val="26"/>
    <w:qFormat/>
    <w:uiPriority w:val="9"/>
    <w:unhideWhenUsed/>
    <w:rPr>
      <w:rFonts w:ascii="Arial" w:hAnsi="Arial" w:cs="Arial" w:eastAsia="Arial"/>
      <w:i/>
      <w:iCs/>
      <w:sz w:val="22"/>
      <w:szCs w:val="22"/>
    </w:rPr>
    <w:pPr>
      <w:keepLines/>
      <w:keepNext/>
      <w:spacing w:after="200" w:before="320"/>
      <w:outlineLvl w:val="7"/>
    </w:pPr>
  </w:style>
  <w:style w:type="character" w:styleId="26">
    <w:name w:val="Heading 8 Char"/>
    <w:basedOn w:val="396"/>
    <w:link w:val="25"/>
    <w:uiPriority w:val="9"/>
    <w:rPr>
      <w:rFonts w:ascii="Arial" w:hAnsi="Arial" w:cs="Arial" w:eastAsia="Arial"/>
      <w:i/>
      <w:iCs/>
      <w:sz w:val="22"/>
      <w:szCs w:val="22"/>
    </w:rPr>
  </w:style>
  <w:style w:type="paragraph" w:styleId="27">
    <w:name w:val="Heading 9"/>
    <w:basedOn w:val="394"/>
    <w:next w:val="394"/>
    <w:link w:val="28"/>
    <w:qFormat/>
    <w:uiPriority w:val="9"/>
    <w:unhideWhenUsed/>
    <w:rPr>
      <w:rFonts w:ascii="Arial" w:hAnsi="Arial" w:cs="Arial" w:eastAsia="Arial"/>
      <w:i/>
      <w:iCs/>
      <w:sz w:val="21"/>
      <w:szCs w:val="21"/>
    </w:rPr>
    <w:pPr>
      <w:keepLines/>
      <w:keepNext/>
      <w:spacing w:after="200" w:before="320"/>
      <w:outlineLvl w:val="8"/>
    </w:pPr>
  </w:style>
  <w:style w:type="character" w:styleId="28">
    <w:name w:val="Heading 9 Char"/>
    <w:basedOn w:val="396"/>
    <w:link w:val="27"/>
    <w:uiPriority w:val="9"/>
    <w:rPr>
      <w:rFonts w:ascii="Arial" w:hAnsi="Arial" w:cs="Arial" w:eastAsia="Arial"/>
      <w:i/>
      <w:iCs/>
      <w:sz w:val="21"/>
      <w:szCs w:val="21"/>
    </w:rPr>
  </w:style>
  <w:style w:type="paragraph" w:styleId="29">
    <w:name w:val="List Paragraph"/>
    <w:basedOn w:val="394"/>
    <w:qFormat/>
    <w:uiPriority w:val="34"/>
    <w:pPr>
      <w:contextualSpacing w:val="true"/>
      <w:ind w:left="720"/>
    </w:pPr>
  </w:style>
  <w:style w:type="paragraph" w:styleId="31">
    <w:name w:val="No Spacing"/>
    <w:qFormat/>
    <w:uiPriority w:val="1"/>
    <w:pPr>
      <w:spacing w:lineRule="auto" w:line="240" w:after="0" w:before="0"/>
    </w:pPr>
  </w:style>
  <w:style w:type="paragraph" w:styleId="32">
    <w:name w:val="Title"/>
    <w:basedOn w:val="394"/>
    <w:next w:val="394"/>
    <w:link w:val="33"/>
    <w:qFormat/>
    <w:uiPriority w:val="10"/>
    <w:rPr>
      <w:sz w:val="48"/>
      <w:szCs w:val="48"/>
    </w:rPr>
    <w:pPr>
      <w:contextualSpacing w:val="true"/>
      <w:spacing w:after="200" w:before="300"/>
    </w:pPr>
  </w:style>
  <w:style w:type="character" w:styleId="33">
    <w:name w:val="Title Char"/>
    <w:basedOn w:val="396"/>
    <w:link w:val="32"/>
    <w:uiPriority w:val="10"/>
    <w:rPr>
      <w:sz w:val="48"/>
      <w:szCs w:val="48"/>
    </w:rPr>
  </w:style>
  <w:style w:type="paragraph" w:styleId="34">
    <w:name w:val="Subtitle"/>
    <w:basedOn w:val="394"/>
    <w:next w:val="394"/>
    <w:link w:val="35"/>
    <w:qFormat/>
    <w:uiPriority w:val="11"/>
    <w:rPr>
      <w:sz w:val="24"/>
      <w:szCs w:val="24"/>
    </w:rPr>
    <w:pPr>
      <w:spacing w:after="200" w:before="200"/>
    </w:pPr>
  </w:style>
  <w:style w:type="character" w:styleId="35">
    <w:name w:val="Subtitle Char"/>
    <w:basedOn w:val="396"/>
    <w:link w:val="34"/>
    <w:uiPriority w:val="11"/>
    <w:rPr>
      <w:sz w:val="24"/>
      <w:szCs w:val="24"/>
    </w:rPr>
  </w:style>
  <w:style w:type="paragraph" w:styleId="36">
    <w:name w:val="Quote"/>
    <w:basedOn w:val="394"/>
    <w:next w:val="394"/>
    <w:link w:val="37"/>
    <w:qFormat/>
    <w:uiPriority w:val="29"/>
    <w:rPr>
      <w:i/>
    </w:rPr>
    <w:pPr>
      <w:ind w:left="720" w:right="720"/>
    </w:pPr>
  </w:style>
  <w:style w:type="character" w:styleId="37">
    <w:name w:val="Quote Char"/>
    <w:link w:val="36"/>
    <w:uiPriority w:val="29"/>
    <w:rPr>
      <w:i/>
    </w:rPr>
  </w:style>
  <w:style w:type="paragraph" w:styleId="38">
    <w:name w:val="Intense Quote"/>
    <w:basedOn w:val="394"/>
    <w:next w:val="394"/>
    <w:link w:val="39"/>
    <w:qFormat/>
    <w:uiPriority w:val="30"/>
    <w:rPr>
      <w:i/>
    </w:rPr>
    <w:pPr>
      <w:contextualSpacing w:val="false"/>
      <w:ind w:left="720" w:right="720"/>
      <w:shd w:val="clear" w:color="auto" w:fill="F2F2F2"/>
      <w:pBdr>
        <w:left w:val="single" w:color="FFFFFF" w:sz="4" w:space="10"/>
        <w:top w:val="single" w:color="FFFFFF" w:sz="4" w:space="5"/>
        <w:right w:val="single" w:color="FFFFFF" w:sz="4" w:space="10"/>
        <w:bottom w:val="single" w:color="FFFFFF" w:sz="4" w:space="5"/>
      </w:pBdr>
    </w:pPr>
  </w:style>
  <w:style w:type="character" w:styleId="39">
    <w:name w:val="Intense Quote Char"/>
    <w:link w:val="38"/>
    <w:uiPriority w:val="30"/>
    <w:rPr>
      <w:i/>
    </w:rPr>
  </w:style>
  <w:style w:type="character" w:styleId="41">
    <w:name w:val="Header Char"/>
    <w:basedOn w:val="396"/>
    <w:link w:val="403"/>
    <w:uiPriority w:val="99"/>
  </w:style>
  <w:style w:type="character" w:styleId="43">
    <w:name w:val="Footer Char"/>
    <w:basedOn w:val="396"/>
    <w:link w:val="402"/>
    <w:uiPriority w:val="99"/>
  </w:style>
  <w:style w:type="paragraph" w:styleId="44">
    <w:name w:val="Caption"/>
    <w:basedOn w:val="394"/>
    <w:next w:val="394"/>
    <w:qFormat/>
    <w:uiPriority w:val="35"/>
    <w:semiHidden/>
    <w:unhideWhenUsed/>
    <w:rPr>
      <w:b/>
      <w:bCs/>
      <w:color w:val="4F81BD" w:themeColor="accent1"/>
      <w:sz w:val="18"/>
      <w:szCs w:val="18"/>
    </w:rPr>
    <w:pPr>
      <w:spacing w:lineRule="auto" w:line="276"/>
    </w:pPr>
  </w:style>
  <w:style w:type="character" w:styleId="45">
    <w:name w:val="Caption Char"/>
    <w:basedOn w:val="44"/>
    <w:link w:val="402"/>
    <w:uiPriority w:val="99"/>
  </w:style>
  <w:style w:type="table" w:styleId="47">
    <w:name w:val="Table Grid Light"/>
    <w:basedOn w:val="39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style>
  <w:style w:type="table" w:styleId="48">
    <w:name w:val="Plain Table 1"/>
    <w:basedOn w:val="397"/>
    <w:uiPriority w:val="59"/>
    <w:pPr>
      <w:spacing w:lineRule="auto" w:line="240" w:after="0"/>
    </w:pPr>
    <w:tblPr>
      <w:tblInd w:w="0" w:type="dxa"/>
      <w:tblBorders>
        <w:left w:val="single" w:color="000000" w:sz="4" w:space="0" w:themeColor="text1" w:themeTint="50"/>
        <w:top w:val="single" w:color="000000" w:sz="4" w:space="0" w:themeColor="text1" w:themeTint="50"/>
        <w:right w:val="single" w:color="000000" w:sz="4" w:space="0" w:themeColor="text1" w:themeTint="50"/>
        <w:bottom w:val="single" w:color="000000" w:sz="4" w:space="0" w:themeColor="text1" w:themeTint="50"/>
        <w:insideV w:val="single" w:color="000000" w:sz="4" w:space="0" w:themeColor="text1" w:themeTint="50"/>
        <w:insideH w:val="single" w:color="000000" w:sz="4" w:space="0" w:themeColor="text1" w:themeTint="50"/>
      </w:tblBorders>
      <w:tblCellMar>
        <w:left w:w="108" w:type="dxa"/>
        <w:top w:w="0" w:type="dxa"/>
        <w:right w:w="108" w:type="dxa"/>
        <w:bottom w:w="0" w:type="dxa"/>
      </w:tblCellMar>
    </w:tblPr>
    <w:tblStylePr w:type="band1Horz">
      <w:tcPr>
        <w:shd w:val="clear" w:color="auto" w:fill="FFFFFF" w:themeFill="text1" w:themeFillTint="0D"/>
      </w:tcPr>
    </w:tblStylePr>
    <w:tblStylePr w:type="band1Vert">
      <w:tcPr>
        <w:shd w:val="clear" w:color="auto" w:fill="FFFFFF" w:themeFill="text1" w:themeFillTint="0D"/>
      </w:tcPr>
    </w:tblStylePr>
    <w:tblStylePr w:type="firstCol">
      <w:rPr>
        <w:rFonts w:ascii="Arial" w:hAnsi="Arial"/>
        <w:b/>
        <w:color w:val="404040"/>
        <w:sz w:val="22"/>
      </w:rPr>
    </w:tblStylePr>
    <w:tblStylePr w:type="firstRow">
      <w:rPr>
        <w:rFonts w:ascii="Arial" w:hAnsi="Arial"/>
        <w:b/>
        <w:color w:val="404040"/>
        <w:sz w:val="22"/>
      </w:rPr>
    </w:tblStylePr>
    <w:tblStylePr w:type="lastCol">
      <w:rPr>
        <w:rFonts w:ascii="Arial" w:hAnsi="Arial"/>
        <w:b/>
        <w:color w:val="404040"/>
        <w:sz w:val="22"/>
      </w:rPr>
    </w:tblStylePr>
    <w:tblStylePr w:type="lastRow">
      <w:rPr>
        <w:rFonts w:ascii="Arial" w:hAnsi="Arial"/>
        <w:b/>
        <w:color w:val="404040"/>
        <w:sz w:val="22"/>
      </w:rPr>
    </w:tblStylePr>
  </w:style>
  <w:style w:type="table" w:styleId="49">
    <w:name w:val="Plain Table 2"/>
    <w:basedOn w:val="397"/>
    <w:uiPriority w:val="59"/>
    <w:pPr>
      <w:spacing w:lineRule="auto" w:line="240" w:after="0"/>
    </w:pPr>
    <w:tblPr>
      <w:tblInd w:w="0" w:type="dxa"/>
      <w:tblBorders>
        <w:left w:val="none" w:color="000000" w:sz="4" w:space="0" w:themeColor="text1"/>
        <w:top w:val="single" w:color="000000" w:sz="4" w:space="0" w:themeColor="text1"/>
        <w:right w:val="none" w:color="000000" w:sz="4" w:space="0" w:themeColor="text1"/>
        <w:bottom w:val="single" w:color="000000" w:sz="4" w:space="0" w:themeColor="text1"/>
      </w:tblBorders>
      <w:tblCellMar>
        <w:left w:w="108" w:type="dxa"/>
        <w:top w:w="0" w:type="dxa"/>
        <w:right w:w="108" w:type="dxa"/>
        <w:bottom w:w="0" w:type="dxa"/>
      </w:tblCellMar>
    </w:tblPr>
    <w:tblStylePr w:type="band1Horz">
      <w:tcPr>
        <w:tcBorders>
          <w:top w:val="single" w:color="000000" w:sz="4" w:space="0" w:themeColor="text1"/>
          <w:bottom w:val="single" w:color="000000" w:sz="4" w:space="0" w:themeColor="text1"/>
        </w:tcBorders>
      </w:tcPr>
    </w:tblStylePr>
    <w:tblStylePr w:type="band1Vert">
      <w:tcPr>
        <w:tcBorders>
          <w:left w:val="single" w:color="000000" w:sz="4" w:space="0" w:themeColor="text1"/>
          <w:right w:val="single" w:color="000000" w:sz="4" w:space="0" w:themeColor="text1"/>
        </w:tcBorders>
      </w:tcPr>
    </w:tblStylePr>
    <w:tblStylePr w:type="band2Vert">
      <w:tcPr>
        <w:tcBorders>
          <w:left w:val="single" w:color="000000" w:sz="4" w:space="0" w:themeColor="text1"/>
          <w:right w:val="single" w:color="000000" w:sz="4" w:space="0" w:themeColor="text1"/>
        </w:tcBorders>
      </w:tcPr>
    </w:tblStylePr>
    <w:tblStylePr w:type="firstCol">
      <w:rPr>
        <w:rFonts w:ascii="Arial" w:hAnsi="Arial"/>
        <w:b/>
        <w:color w:val="404040"/>
        <w:sz w:val="22"/>
      </w:rPr>
    </w:tblStylePr>
    <w:tblStylePr w:type="firstRow">
      <w:rPr>
        <w:rFonts w:ascii="Arial" w:hAnsi="Arial"/>
        <w:b/>
        <w:color w:val="404040"/>
        <w:sz w:val="22"/>
      </w:rPr>
      <w:tcPr>
        <w:tcBorders>
          <w:top w:val="single" w:color="000000" w:sz="4" w:space="0" w:themeColor="text1"/>
          <w:bottom w:val="single" w:color="000000" w:sz="4" w:space="0" w:themeColor="text1"/>
        </w:tcBorders>
      </w:tcPr>
    </w:tblStylePr>
    <w:tblStylePr w:type="lastCol">
      <w:rPr>
        <w:rFonts w:ascii="Arial" w:hAnsi="Arial"/>
        <w:b/>
        <w:color w:val="404040"/>
        <w:sz w:val="22"/>
      </w:rPr>
    </w:tblStylePr>
    <w:tblStylePr w:type="lastRow">
      <w:rPr>
        <w:rFonts w:ascii="Arial" w:hAnsi="Arial"/>
        <w:b/>
        <w:color w:val="404040"/>
        <w:sz w:val="22"/>
      </w:rPr>
    </w:tblStylePr>
  </w:style>
  <w:style w:type="table" w:styleId="50">
    <w:name w:val="Plain Table 3"/>
    <w:basedOn w:val="39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aps/>
        <w:color w:val="404040"/>
      </w:rPr>
      <w:tcPr>
        <w:tcBorders>
          <w:left w:val="none" w:color="000000" w:sz="4" w:space="0"/>
          <w:top w:val="none" w:color="000000" w:sz="4" w:space="0"/>
          <w:right w:val="single" w:color="404040" w:sz="4" w:space="0"/>
          <w:bottom w:val="none" w:color="000000" w:sz="4" w:space="0"/>
        </w:tcBorders>
      </w:tcPr>
    </w:tblStylePr>
    <w:tblStylePr w:type="firstRow">
      <w:rPr>
        <w:b/>
        <w:caps/>
        <w:color w:val="404040"/>
      </w:rPr>
      <w:tcPr>
        <w:tcBorders>
          <w:left w:val="none" w:color="000000" w:sz="4" w:space="0"/>
          <w:top w:val="none" w:color="000000" w:sz="4" w:space="0"/>
          <w:right w:val="none" w:color="000000" w:sz="4" w:space="0"/>
          <w:bottom w:val="single" w:color="404040" w:sz="4" w:space="0"/>
        </w:tcBorders>
      </w:tcPr>
    </w:tblStylePr>
    <w:tblStylePr w:type="lastCol">
      <w:rPr>
        <w:b/>
        <w:caps/>
        <w:color w:val="404040"/>
      </w:rPr>
    </w:tblStylePr>
    <w:tblStylePr w:type="lastRow">
      <w:rPr>
        <w:b/>
        <w:caps/>
        <w:color w:val="404040"/>
      </w:rPr>
    </w:tblStylePr>
  </w:style>
  <w:style w:type="table" w:styleId="51">
    <w:name w:val="Plain Table 4"/>
    <w:basedOn w:val="39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b/>
        <w:color w:val="404040"/>
      </w:rPr>
    </w:tblStylePr>
    <w:tblStylePr w:type="firstRow">
      <w:rPr>
        <w:b/>
        <w:color w:val="404040"/>
      </w:rPr>
    </w:tblStylePr>
    <w:tblStylePr w:type="lastCol">
      <w:rPr>
        <w:b/>
        <w:color w:val="404040"/>
      </w:rPr>
    </w:tblStylePr>
    <w:tblStylePr w:type="lastRow">
      <w:rPr>
        <w:b/>
        <w:color w:val="404040"/>
      </w:rPr>
    </w:tblStylePr>
  </w:style>
  <w:style w:type="table" w:styleId="52">
    <w:name w:val="Plain Table 5"/>
    <w:basedOn w:val="397"/>
    <w:uiPriority w:val="99"/>
    <w:pPr>
      <w:spacing w:lineRule="auto" w:line="240" w:after="0"/>
    </w:pPr>
    <w:tblPr>
      <w:tblStyleRowBandSize w:val="1"/>
      <w:tblStyleColBandSize w:val="1"/>
      <w:tblInd w:w="0" w:type="dxa"/>
    </w:tblPr>
    <w:tblStylePr w:type="band1Horz">
      <w:rPr>
        <w:rFonts w:ascii="Arial" w:hAnsi="Arial"/>
        <w:color w:val="404040"/>
        <w:sz w:val="22"/>
      </w:rPr>
      <w:tcPr>
        <w:shd w:val="clear" w:color="auto" w:fill="FFFFFF" w:themeFill="text1" w:themeFillTint="0D"/>
      </w:tcPr>
    </w:tblStylePr>
    <w:tblStylePr w:type="band1Vert">
      <w:rPr>
        <w:rFonts w:ascii="Arial" w:hAnsi="Arial"/>
        <w:color w:val="404040"/>
        <w:sz w:val="22"/>
      </w:rPr>
      <w:tcPr>
        <w:shd w:val="clear" w:color="auto" w:fill="FFFFFF" w:themeFill="text1" w:themeFillTint="0D"/>
      </w:tcPr>
    </w:tblStylePr>
    <w:tblStylePr w:type="firstCol">
      <w:rPr>
        <w:i/>
        <w:color w:val="404040"/>
      </w:rPr>
      <w:pPr>
        <w:jc w:val="right"/>
      </w:pPr>
      <w:tcPr>
        <w:shd w:val="clear" w:color="auto" w:fill="FFFFFF"/>
        <w:tcBorders>
          <w:right w:val="single" w:color="404040" w:sz="4" w:space="0"/>
        </w:tcBorders>
      </w:tcPr>
    </w:tblStylePr>
    <w:tblStylePr w:type="firstRow">
      <w:rPr>
        <w:i/>
        <w:color w:val="404040"/>
      </w:rPr>
      <w:tcPr>
        <w:shd w:val="clear" w:color="auto" w:fill="FFFFFF"/>
        <w:tcBorders>
          <w:left w:val="none" w:color="000000" w:sz="4" w:space="0"/>
          <w:right w:val="none" w:color="000000" w:sz="4" w:space="0"/>
          <w:bottom w:val="single" w:color="404040" w:sz="4" w:space="0"/>
        </w:tcBorders>
      </w:tcPr>
    </w:tblStylePr>
    <w:tblStylePr w:type="lastCol">
      <w:rPr>
        <w:i/>
        <w:color w:val="404040"/>
      </w:rPr>
      <w:tcPr>
        <w:shd w:val="clear" w:color="auto" w:fill="FFFFFF"/>
        <w:tcBorders>
          <w:left w:val="single" w:color="404040" w:sz="4" w:space="0"/>
        </w:tcBorders>
      </w:tcPr>
    </w:tblStylePr>
    <w:tblStylePr w:type="lastRow">
      <w:rPr>
        <w:i/>
        <w:color w:val="404040"/>
      </w:rPr>
      <w:tcPr>
        <w:shd w:val="clear" w:color="auto" w:fill="FFFFFF"/>
        <w:tcBorders>
          <w:left w:val="none" w:color="000000" w:sz="4" w:space="0"/>
          <w:top w:val="single" w:color="404040" w:sz="4" w:space="0"/>
          <w:right w:val="none" w:color="000000" w:sz="4" w:space="0"/>
        </w:tcBorders>
      </w:tcPr>
    </w:tblStylePr>
  </w:style>
  <w:style w:type="table" w:styleId="53">
    <w:name w:val="Grid Table 1 Light"/>
    <w:basedOn w:val="397"/>
    <w:uiPriority w:val="99"/>
    <w:pPr>
      <w:spacing w:lineRule="auto" w:line="240" w:after="0"/>
    </w:pPr>
    <w:tblPr>
      <w:tblStyleRowBandSize w:val="1"/>
      <w:tblStyleColBandSize w:val="1"/>
      <w:tblInd w:w="0" w:type="dxa"/>
      <w:tbl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insideV w:val="single" w:color="000000" w:sz="4" w:space="0" w:themeColor="text1" w:themeTint="67"/>
        <w:insideH w:val="single" w:color="000000" w:sz="4" w:space="0" w:themeColor="text1" w:themeTint="67"/>
      </w:tblBorders>
    </w:tblPr>
    <w:tblStylePr w:type="band1Horz">
      <w:rPr>
        <w:rFonts w:ascii="Arial" w:hAnsi="Arial"/>
        <w:color w:val="404040"/>
        <w:sz w:val="22"/>
      </w:rPr>
      <w:tcPr>
        <w:tcBorders>
          <w:left w:val="single" w:color="000000" w:sz="4" w:space="0" w:themeColor="text1" w:themeTint="67"/>
          <w:top w:val="single" w:color="000000" w:sz="4" w:space="0" w:themeColor="text1" w:themeTint="67"/>
          <w:right w:val="single" w:color="000000" w:sz="4" w:space="0" w:themeColor="text1" w:themeTint="67"/>
          <w:bottom w:val="single" w:color="000000" w:sz="4" w:space="0" w:themeColor="text1" w:themeTint="67"/>
        </w:tcBorders>
      </w:tcPr>
    </w:tblStylePr>
    <w:tblStylePr w:type="firstCol">
      <w:rPr>
        <w:b/>
        <w:color w:val="404040"/>
      </w:rPr>
    </w:tblStylePr>
    <w:tblStylePr w:type="firstRow">
      <w:rPr>
        <w:b/>
        <w:color w:val="404040"/>
      </w:rPr>
      <w:tcPr>
        <w:tcBorders>
          <w:bottom w:val="single" w:color="000000" w:sz="12" w:space="0" w:themeColor="text1" w:themeTint="95"/>
        </w:tcBorders>
      </w:tcPr>
    </w:tblStylePr>
    <w:tblStylePr w:type="lastCol">
      <w:rPr>
        <w:b/>
        <w:color w:val="404040"/>
      </w:rPr>
    </w:tblStylePr>
    <w:tblStylePr w:type="lastRow">
      <w:rPr>
        <w:b/>
        <w:color w:val="404040"/>
      </w:rPr>
    </w:tblStylePr>
  </w:style>
  <w:style w:type="table" w:styleId="54">
    <w:name w:val="Grid Table 1 Light - Accent 1"/>
    <w:basedOn w:val="39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b/>
        <w:color w:val="404040"/>
      </w:rPr>
    </w:tblStylePr>
    <w:tblStylePr w:type="firstRow">
      <w:rPr>
        <w:b/>
        <w:color w:val="404040"/>
      </w:rPr>
      <w:tcPr>
        <w:tcBorders>
          <w:bottom w:val="single" w:color="000000" w:sz="12" w:space="0" w:themeColor="accent1" w:themeTint="95"/>
        </w:tcBorders>
      </w:tcPr>
    </w:tblStylePr>
    <w:tblStylePr w:type="lastCol">
      <w:rPr>
        <w:b/>
        <w:color w:val="404040"/>
      </w:rPr>
    </w:tblStylePr>
    <w:tblStylePr w:type="lastRow">
      <w:rPr>
        <w:b/>
        <w:color w:val="404040"/>
      </w:rPr>
    </w:tblStylePr>
  </w:style>
  <w:style w:type="table" w:styleId="55">
    <w:name w:val="Grid Table 1 Light - Accent 2"/>
    <w:basedOn w:val="39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b/>
        <w:color w:val="404040"/>
      </w:rPr>
    </w:tblStylePr>
    <w:tblStylePr w:type="firstRow">
      <w:rPr>
        <w:b/>
        <w:color w:val="404040"/>
      </w:rPr>
      <w:tcPr>
        <w:tcBorders>
          <w:bottom w:val="single" w:color="000000" w:sz="12" w:space="0" w:themeColor="accent2" w:themeTint="95"/>
        </w:tcBorders>
      </w:tcPr>
    </w:tblStylePr>
    <w:tblStylePr w:type="lastCol">
      <w:rPr>
        <w:b/>
        <w:color w:val="404040"/>
      </w:rPr>
    </w:tblStylePr>
    <w:tblStylePr w:type="lastRow">
      <w:rPr>
        <w:b/>
        <w:color w:val="404040"/>
      </w:rPr>
    </w:tblStylePr>
  </w:style>
  <w:style w:type="table" w:styleId="56">
    <w:name w:val="Grid Table 1 Light - Accent 3"/>
    <w:basedOn w:val="39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b/>
        <w:color w:val="404040"/>
      </w:rPr>
    </w:tblStylePr>
    <w:tblStylePr w:type="firstRow">
      <w:rPr>
        <w:b/>
        <w:color w:val="404040"/>
      </w:rPr>
      <w:tcPr>
        <w:tcBorders>
          <w:bottom w:val="single" w:color="000000" w:sz="12" w:space="0" w:themeColor="accent3" w:themeTint="95"/>
        </w:tcBorders>
      </w:tcPr>
    </w:tblStylePr>
    <w:tblStylePr w:type="lastCol">
      <w:rPr>
        <w:b/>
        <w:color w:val="404040"/>
      </w:rPr>
    </w:tblStylePr>
    <w:tblStylePr w:type="lastRow">
      <w:rPr>
        <w:b/>
        <w:color w:val="404040"/>
      </w:rPr>
    </w:tblStylePr>
  </w:style>
  <w:style w:type="table" w:styleId="57">
    <w:name w:val="Grid Table 1 Light - Accent 4"/>
    <w:basedOn w:val="39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b/>
        <w:color w:val="404040"/>
      </w:rPr>
    </w:tblStylePr>
    <w:tblStylePr w:type="firstRow">
      <w:rPr>
        <w:b/>
        <w:color w:val="404040"/>
      </w:rPr>
      <w:tcPr>
        <w:tcBorders>
          <w:bottom w:val="single" w:color="000000" w:sz="12" w:space="0" w:themeColor="accent4" w:themeTint="95"/>
        </w:tcBorders>
      </w:tcPr>
    </w:tblStylePr>
    <w:tblStylePr w:type="lastCol">
      <w:rPr>
        <w:b/>
        <w:color w:val="404040"/>
      </w:rPr>
    </w:tblStylePr>
    <w:tblStylePr w:type="lastRow">
      <w:rPr>
        <w:b/>
        <w:color w:val="404040"/>
      </w:rPr>
    </w:tblStylePr>
  </w:style>
  <w:style w:type="table" w:styleId="58">
    <w:name w:val="Grid Table 1 Light - Accent 5"/>
    <w:basedOn w:val="39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b/>
        <w:color w:val="404040"/>
      </w:rPr>
    </w:tblStylePr>
    <w:tblStylePr w:type="firstRow">
      <w:rPr>
        <w:b/>
        <w:color w:val="404040"/>
      </w:rPr>
      <w:tcPr>
        <w:tcBorders>
          <w:bottom w:val="single" w:color="000000" w:sz="12" w:space="0" w:themeColor="accent5" w:themeTint="95"/>
        </w:tcBorders>
      </w:tcPr>
    </w:tblStylePr>
    <w:tblStylePr w:type="lastCol">
      <w:rPr>
        <w:b/>
        <w:color w:val="404040"/>
      </w:rPr>
    </w:tblStylePr>
    <w:tblStylePr w:type="lastRow">
      <w:rPr>
        <w:b/>
        <w:color w:val="404040"/>
      </w:rPr>
    </w:tblStylePr>
  </w:style>
  <w:style w:type="table" w:styleId="59">
    <w:name w:val="Grid Table 1 Light - Accent 6"/>
    <w:basedOn w:val="39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b/>
        <w:color w:val="404040"/>
      </w:rPr>
    </w:tblStylePr>
    <w:tblStylePr w:type="firstRow">
      <w:rPr>
        <w:b/>
        <w:color w:val="404040"/>
      </w:rPr>
      <w:tcPr>
        <w:tcBorders>
          <w:bottom w:val="single" w:color="000000" w:sz="12" w:space="0" w:themeColor="accent6" w:themeTint="95"/>
        </w:tcBorders>
      </w:tcPr>
    </w:tblStylePr>
    <w:tblStylePr w:type="lastCol">
      <w:rPr>
        <w:b/>
        <w:color w:val="404040"/>
      </w:rPr>
    </w:tblStylePr>
    <w:tblStylePr w:type="lastRow">
      <w:rPr>
        <w:b/>
        <w:color w:val="404040"/>
      </w:rPr>
    </w:tblStylePr>
  </w:style>
  <w:style w:type="table" w:styleId="60">
    <w:name w:val="Grid Table 2"/>
    <w:basedOn w:val="39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text1" w:themeTint="9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text1" w:themeTint="95"/>
          <w:right w:val="none" w:color="000000" w:sz="4" w:space="0"/>
          <w:bottom w:val="none" w:color="000000" w:sz="4" w:space="0"/>
        </w:tcBorders>
      </w:tcPr>
    </w:tblStylePr>
  </w:style>
  <w:style w:type="table" w:styleId="61">
    <w:name w:val="Grid Table 2 - Accent 1"/>
    <w:basedOn w:val="39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1" w:themeTint="E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1" w:themeTint="EA"/>
          <w:right w:val="none" w:color="000000" w:sz="4" w:space="0"/>
          <w:bottom w:val="none" w:color="000000" w:sz="4" w:space="0"/>
        </w:tcBorders>
      </w:tcPr>
    </w:tblStylePr>
  </w:style>
  <w:style w:type="table" w:styleId="62">
    <w:name w:val="Grid Table 2 - Accent 2"/>
    <w:basedOn w:val="39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2" w:themeTint="97"/>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2" w:themeTint="97"/>
          <w:right w:val="none" w:color="000000" w:sz="4" w:space="0"/>
          <w:bottom w:val="none" w:color="000000" w:sz="4" w:space="0"/>
        </w:tcBorders>
      </w:tcPr>
    </w:tblStylePr>
  </w:style>
  <w:style w:type="table" w:styleId="63">
    <w:name w:val="Grid Table 2 - Accent 3"/>
    <w:basedOn w:val="39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3" w:themeTint="FE"/>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3" w:themeTint="FE"/>
          <w:right w:val="none" w:color="000000" w:sz="4" w:space="0"/>
          <w:bottom w:val="none" w:color="000000" w:sz="4" w:space="0"/>
        </w:tcBorders>
      </w:tcPr>
    </w:tblStylePr>
  </w:style>
  <w:style w:type="table" w:styleId="64">
    <w:name w:val="Grid Table 2 - Accent 4"/>
    <w:basedOn w:val="39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4" w:themeTint="9A"/>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4" w:themeTint="9A"/>
          <w:right w:val="none" w:color="000000" w:sz="4" w:space="0"/>
          <w:bottom w:val="none" w:color="000000" w:sz="4" w:space="0"/>
        </w:tcBorders>
      </w:tcPr>
    </w:tblStylePr>
  </w:style>
  <w:style w:type="table" w:styleId="65">
    <w:name w:val="Grid Table 2 - Accent 5"/>
    <w:basedOn w:val="39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5"/>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5"/>
          <w:right w:val="none" w:color="000000" w:sz="4" w:space="0"/>
          <w:bottom w:val="none" w:color="000000" w:sz="4" w:space="0"/>
        </w:tcBorders>
      </w:tcPr>
    </w:tblStylePr>
  </w:style>
  <w:style w:type="table" w:styleId="66">
    <w:name w:val="Grid Table 2 - Accent 6"/>
    <w:basedOn w:val="39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b/>
        <w:color w:val="404040"/>
      </w:rPr>
      <w:tcPr>
        <w:shd w:val="clear" w:color="auto" w:fill="FFFFFF"/>
        <w:tcBorders>
          <w:left w:val="none" w:color="000000" w:sz="4" w:space="0"/>
          <w:top w:val="none" w:color="000000" w:sz="4" w:space="0"/>
          <w:right w:val="none" w:color="000000" w:sz="4" w:space="0"/>
          <w:bottom w:val="single" w:color="000000" w:sz="12" w:space="0" w:themeColor="accent6"/>
        </w:tcBorders>
      </w:tcPr>
    </w:tblStylePr>
    <w:tblStylePr w:type="lastCol">
      <w:rPr>
        <w:b/>
        <w:color w:val="404040"/>
      </w:rPr>
    </w:tblStylePr>
    <w:tblStylePr w:type="lastRow">
      <w:rPr>
        <w:b/>
        <w:color w:val="404040"/>
      </w:rPr>
      <w:tcPr>
        <w:shd w:val="clear" w:color="auto" w:fill="FFFFFF"/>
        <w:tcBorders>
          <w:left w:val="none" w:color="000000" w:sz="4" w:space="0"/>
          <w:top w:val="single" w:color="000000" w:sz="4" w:space="0" w:themeColor="accent6"/>
          <w:right w:val="none" w:color="000000" w:sz="4" w:space="0"/>
          <w:bottom w:val="none" w:color="000000" w:sz="4" w:space="0"/>
        </w:tcBorders>
      </w:tcPr>
    </w:tblStylePr>
  </w:style>
  <w:style w:type="table" w:styleId="67">
    <w:name w:val="Grid Table 3"/>
    <w:basedOn w:val="397"/>
    <w:uiPriority w:val="99"/>
    <w:pPr>
      <w:spacing w:lineRule="auto" w:line="240" w:after="0"/>
    </w:pPr>
    <w:tblPr>
      <w:tblStyleRowBandSize w:val="1"/>
      <w:tblStyleColBandSize w:val="1"/>
      <w:tblInd w:w="0" w:type="dxa"/>
      <w:tblBorders>
        <w:bottom w:val="single" w:color="000000" w:sz="4" w:space="0" w:themeColor="text1" w:themeTint="95"/>
        <w:insideV w:val="single" w:color="000000" w:sz="4" w:space="0" w:themeColor="text1" w:themeTint="95"/>
        <w:insideH w:val="single" w:color="000000" w:sz="4" w:space="0" w:themeColor="text1" w:themeTint="95"/>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8">
    <w:name w:val="Grid Table 3 - Accent 1"/>
    <w:basedOn w:val="397"/>
    <w:uiPriority w:val="99"/>
    <w:pPr>
      <w:spacing w:lineRule="auto" w:line="240" w:after="0"/>
    </w:pPr>
    <w:tblPr>
      <w:tblStyleRowBandSize w:val="1"/>
      <w:tblStyleColBandSize w:val="1"/>
      <w:tblInd w:w="0" w:type="dxa"/>
      <w:tblBorders>
        <w:bottom w:val="single" w:color="000000" w:sz="4" w:space="0" w:themeColor="accent1" w:themeTint="EA"/>
        <w:insideV w:val="single" w:color="000000" w:sz="4" w:space="0" w:themeColor="accent1" w:themeTint="EA"/>
        <w:insideH w:val="single" w:color="000000" w:sz="4" w:space="0" w:themeColor="accent1" w:themeTint="EA"/>
      </w:tblBorders>
    </w:tblPr>
    <w:tblStylePr w:type="band1Horz">
      <w:rPr>
        <w:rFonts w:ascii="Arial" w:hAnsi="Arial"/>
        <w:color w:val="404040"/>
        <w:sz w:val="22"/>
      </w:rPr>
      <w:tcPr>
        <w:shd w:val="clear" w:color="auto" w:fill="FFFFFF" w:themeFill="accent1" w:themeFillTint="34"/>
      </w:tcPr>
    </w:tblStylePr>
    <w:tblStylePr w:type="band1Vert">
      <w:rPr>
        <w:rFonts w:ascii="Arial" w:hAnsi="Arial"/>
        <w:color w:val="404040"/>
        <w:sz w:val="22"/>
      </w:rPr>
      <w:tcPr>
        <w:shd w:val="clear" w:color="auto" w:fill="FFFFFF" w:themeFill="accent1"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69">
    <w:name w:val="Grid Table 3 - Accent 2"/>
    <w:basedOn w:val="397"/>
    <w:uiPriority w:val="99"/>
    <w:pPr>
      <w:spacing w:lineRule="auto" w:line="240" w:after="0"/>
    </w:pPr>
    <w:tblPr>
      <w:tblStyleRowBandSize w:val="1"/>
      <w:tblStyleColBandSize w:val="1"/>
      <w:tblInd w:w="0" w:type="dxa"/>
      <w:tblBorders>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0">
    <w:name w:val="Grid Table 3 - Accent 3"/>
    <w:basedOn w:val="397"/>
    <w:uiPriority w:val="99"/>
    <w:pPr>
      <w:spacing w:lineRule="auto" w:line="240" w:after="0"/>
    </w:pPr>
    <w:tblPr>
      <w:tblStyleRowBandSize w:val="1"/>
      <w:tblStyleColBandSize w:val="1"/>
      <w:tblInd w:w="0" w:type="dxa"/>
      <w:tblBorders>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1">
    <w:name w:val="Grid Table 3 - Accent 4"/>
    <w:basedOn w:val="397"/>
    <w:uiPriority w:val="99"/>
    <w:pPr>
      <w:spacing w:lineRule="auto" w:line="240" w:after="0"/>
    </w:pPr>
    <w:tblPr>
      <w:tblStyleRowBandSize w:val="1"/>
      <w:tblStyleColBandSize w:val="1"/>
      <w:tblInd w:w="0" w:type="dxa"/>
      <w:tblBorders>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2">
    <w:name w:val="Grid Table 3 - Accent 5"/>
    <w:basedOn w:val="397"/>
    <w:uiPriority w:val="99"/>
    <w:pPr>
      <w:spacing w:lineRule="auto" w:line="240" w:after="0"/>
    </w:pPr>
    <w:tblPr>
      <w:tblStyleRowBandSize w:val="1"/>
      <w:tblStyleColBandSize w:val="1"/>
      <w:tblInd w:w="0" w:type="dxa"/>
      <w:tblBorders>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3">
    <w:name w:val="Grid Table 3 - Accent 6"/>
    <w:basedOn w:val="397"/>
    <w:uiPriority w:val="99"/>
    <w:pPr>
      <w:spacing w:lineRule="auto" w:line="240" w:after="0"/>
    </w:pPr>
    <w:tblPr>
      <w:tblStyleRowBandSize w:val="1"/>
      <w:tblStyleColBandSize w:val="1"/>
      <w:tblInd w:w="0" w:type="dxa"/>
      <w:tblBorders>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i/>
        <w:color w:val="404040"/>
      </w:rPr>
      <w:pPr>
        <w:jc w:val="right"/>
      </w:pPr>
      <w:tcPr>
        <w:shd w:color="auto" w:fill="FFFFFF"/>
        <w:tcBorders>
          <w:left w:val="none" w:color="000000" w:sz="4" w:space="0"/>
          <w:top w:val="none" w:color="000000" w:sz="4" w:space="0"/>
          <w:right w:val="none" w:color="000000" w:sz="4" w:space="0"/>
          <w:bottom w:val="none" w:color="000000" w:sz="4" w:space="0"/>
        </w:tcBorders>
      </w:tcPr>
    </w:tblStylePr>
    <w:tblStylePr w:type="fir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tblStylePr w:type="lastCol">
      <w:rPr>
        <w:i/>
        <w:color w:val="404040"/>
      </w:rPr>
      <w:tcPr>
        <w:shd w:color="auto" w:fill="FFFFFF"/>
        <w:tcBorders>
          <w:left w:val="none" w:color="000000" w:sz="4" w:space="0"/>
          <w:top w:val="none" w:color="000000" w:sz="4" w:space="0"/>
          <w:right w:val="none" w:color="000000" w:sz="4" w:space="0"/>
          <w:bottom w:val="none" w:color="000000" w:sz="4" w:space="0"/>
        </w:tcBorders>
      </w:tcPr>
    </w:tblStylePr>
    <w:tblStylePr w:type="lastRow">
      <w:rPr>
        <w:b/>
        <w:color w:val="404040"/>
      </w:rPr>
      <w:tcPr>
        <w:shd w:val="clear" w:color="auto" w:fill="FFFFFF"/>
        <w:tcBorders>
          <w:left w:val="none" w:color="000000" w:sz="4" w:space="0"/>
          <w:top w:val="none" w:color="000000" w:sz="4" w:space="0"/>
          <w:right w:val="none" w:color="000000" w:sz="4" w:space="0"/>
          <w:bottom w:val="none" w:color="000000" w:sz="4" w:space="0"/>
        </w:tcBorders>
      </w:tcPr>
    </w:tblStylePr>
  </w:style>
  <w:style w:type="table" w:styleId="74">
    <w:name w:val="Grid Table 4"/>
    <w:basedOn w:val="397"/>
    <w:uiPriority w:val="59"/>
    <w:pPr>
      <w:spacing w:lineRule="auto" w:line="240" w:after="0"/>
    </w:pPr>
    <w:tblPr>
      <w:tblStyleRowBandSize w:val="1"/>
      <w:tblStyleColBandSize w:val="1"/>
      <w:tblInd w:w="0" w:type="dxa"/>
      <w:tblBorders>
        <w:left w:val="single" w:color="000000" w:sz="4" w:space="0" w:themeColor="text1" w:themeTint="90"/>
        <w:top w:val="single" w:color="000000" w:sz="4" w:space="0" w:themeColor="text1" w:themeTint="90"/>
        <w:right w:val="single" w:color="000000" w:sz="4" w:space="0" w:themeColor="text1" w:themeTint="90"/>
        <w:bottom w:val="single" w:color="000000" w:sz="4" w:space="0" w:themeColor="text1" w:themeTint="90"/>
        <w:insideV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34"/>
      </w:tcPr>
    </w:tblStylePr>
    <w:tblStylePr w:type="band1Vert">
      <w:rPr>
        <w:rFonts w:ascii="Arial" w:hAnsi="Arial"/>
        <w:color w:val="404040"/>
        <w:sz w:val="22"/>
      </w:rPr>
      <w:tcPr>
        <w:shd w:val="clear" w:color="auto" w:fill="FFFFFF" w:themeFill="text1" w:themeFillTint="34"/>
      </w:tcPr>
    </w:tblStylePr>
    <w:tblStylePr w:type="firstCol">
      <w:rPr>
        <w:b/>
        <w:color w:val="404040"/>
      </w:rPr>
    </w:tblStylePr>
    <w:tblStylePr w:type="firstRow">
      <w:rPr>
        <w:rFonts w:ascii="Arial" w:hAnsi="Arial"/>
        <w:b/>
        <w:color w:val="FFFFFF"/>
        <w:sz w:val="22"/>
      </w:rPr>
      <w:tcPr>
        <w:shd w:val="clear" w:color="auto" w:fill="FFFFFF" w:themeFill="text1"/>
        <w:tcBorders>
          <w:left w:val="single" w:color="000000" w:sz="4" w:space="0" w:themeColor="text1"/>
          <w:top w:val="single" w:color="000000" w:sz="4" w:space="0" w:themeColor="text1"/>
          <w:right w:val="single" w:color="000000" w:sz="4" w:space="0" w:themeColor="text1"/>
          <w:bottom w:val="single" w:color="000000" w:sz="4" w:space="0" w:themeColor="text1"/>
        </w:tcBorders>
      </w:tcPr>
    </w:tblStylePr>
    <w:tblStylePr w:type="lastCol">
      <w:rPr>
        <w:b/>
        <w:color w:val="404040"/>
      </w:rPr>
    </w:tblStylePr>
    <w:tblStylePr w:type="lastRow">
      <w:rPr>
        <w:b/>
        <w:color w:val="404040"/>
      </w:rPr>
      <w:tcPr>
        <w:tcBorders>
          <w:top w:val="single" w:color="000000" w:sz="4" w:space="0" w:themeColor="text1"/>
        </w:tcBorders>
      </w:tcPr>
    </w:tblStylePr>
  </w:style>
  <w:style w:type="table" w:styleId="75">
    <w:name w:val="Grid Table 4 - Accent 1"/>
    <w:basedOn w:val="397"/>
    <w:uiPriority w:val="5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V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32"/>
      </w:tcPr>
    </w:tblStylePr>
    <w:tblStylePr w:type="band1Vert">
      <w:rPr>
        <w:rFonts w:ascii="Arial" w:hAnsi="Arial"/>
        <w:color w:val="404040"/>
        <w:sz w:val="22"/>
      </w:rPr>
      <w:tcPr>
        <w:shd w:val="clear" w:color="auto" w:fill="FFFFFF" w:themeFill="accent1" w:themeFillTint="32"/>
      </w:tcPr>
    </w:tblStylePr>
    <w:tblStylePr w:type="firstCol">
      <w:rPr>
        <w:b/>
        <w:color w:val="404040"/>
      </w:rPr>
    </w:tblStylePr>
    <w:tblStylePr w:type="firstRow">
      <w:rPr>
        <w:rFonts w:ascii="Arial" w:hAnsi="Arial"/>
        <w:b/>
        <w:color w:val="FFFFFF"/>
        <w:sz w:val="22"/>
      </w:rPr>
      <w:tcPr>
        <w:shd w:val="clear" w:color="auto" w:fill="FFFFFF" w:themeFill="accent1" w:themeFillTint="EA"/>
        <w:tcBorders>
          <w:left w:val="single" w:color="000000" w:sz="4" w:space="0" w:themeColor="accent1" w:themeTint="EA"/>
          <w:top w:val="single" w:color="000000" w:sz="4" w:space="0" w:themeColor="accent1" w:themeTint="EA"/>
          <w:right w:val="single" w:color="000000" w:sz="4" w:space="0" w:themeColor="accent1" w:themeTint="EA"/>
          <w:bottom w:val="single" w:color="000000" w:sz="4" w:space="0" w:themeColor="accent1" w:themeTint="EA"/>
        </w:tcBorders>
      </w:tcPr>
    </w:tblStylePr>
    <w:tblStylePr w:type="lastCol">
      <w:rPr>
        <w:b/>
        <w:color w:val="404040"/>
      </w:rPr>
    </w:tblStylePr>
    <w:tblStylePr w:type="lastRow">
      <w:rPr>
        <w:b/>
        <w:color w:val="404040"/>
      </w:rPr>
      <w:tcPr>
        <w:tcBorders>
          <w:top w:val="single" w:color="000000" w:sz="4" w:space="0" w:themeColor="accent1" w:themeTint="EA"/>
        </w:tcBorders>
      </w:tcPr>
    </w:tblStylePr>
  </w:style>
  <w:style w:type="table" w:styleId="76">
    <w:name w:val="Grid Table 4 - Accent 2"/>
    <w:basedOn w:val="397"/>
    <w:uiPriority w:val="5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V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32"/>
      </w:tcPr>
    </w:tblStylePr>
    <w:tblStylePr w:type="band1Vert">
      <w:rPr>
        <w:rFonts w:ascii="Arial" w:hAnsi="Arial"/>
        <w:color w:val="404040"/>
        <w:sz w:val="22"/>
      </w:rPr>
      <w:tcPr>
        <w:shd w:val="clear" w:color="auto" w:fill="FFFFFF" w:themeFill="accent2" w:themeFillTint="32"/>
      </w:tcPr>
    </w:tblStylePr>
    <w:tblStylePr w:type="firstCol">
      <w:rPr>
        <w:b/>
        <w:color w:val="404040"/>
      </w:rPr>
    </w:tblStylePr>
    <w:tblStylePr w:type="firstRow">
      <w:rPr>
        <w:rFonts w:ascii="Arial" w:hAnsi="Arial"/>
        <w:b/>
        <w:color w:val="FFFFFF"/>
        <w:sz w:val="22"/>
      </w:rPr>
      <w:tcPr>
        <w:shd w:val="clear" w:color="auto" w:fill="FFFFFF" w:themeFill="accent2" w:themeFillTint="97"/>
        <w:tc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cBorders>
      </w:tcPr>
    </w:tblStylePr>
    <w:tblStylePr w:type="lastCol">
      <w:rPr>
        <w:b/>
        <w:color w:val="404040"/>
      </w:rPr>
    </w:tblStylePr>
    <w:tblStylePr w:type="lastRow">
      <w:rPr>
        <w:b/>
        <w:color w:val="404040"/>
      </w:rPr>
      <w:tcPr>
        <w:tcBorders>
          <w:top w:val="single" w:color="000000" w:sz="4" w:space="0" w:themeColor="accent2" w:themeTint="97"/>
        </w:tcBorders>
      </w:tcPr>
    </w:tblStylePr>
  </w:style>
  <w:style w:type="table" w:styleId="77">
    <w:name w:val="Grid Table 4 - Accent 3"/>
    <w:basedOn w:val="397"/>
    <w:uiPriority w:val="5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V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34"/>
      </w:tcPr>
    </w:tblStylePr>
    <w:tblStylePr w:type="band1Vert">
      <w:rPr>
        <w:rFonts w:ascii="Arial" w:hAnsi="Arial"/>
        <w:color w:val="404040"/>
        <w:sz w:val="22"/>
      </w:rPr>
      <w:tcPr>
        <w:shd w:val="clear" w:color="auto" w:fill="FFFFFF" w:themeFill="accent3" w:themeFillTint="34"/>
      </w:tcPr>
    </w:tblStylePr>
    <w:tblStylePr w:type="firstCol">
      <w:rPr>
        <w:b/>
        <w:color w:val="404040"/>
      </w:rPr>
    </w:tblStylePr>
    <w:tblStylePr w:type="firstRow">
      <w:rPr>
        <w:rFonts w:ascii="Arial" w:hAnsi="Arial"/>
        <w:b/>
        <w:color w:val="FFFFFF"/>
        <w:sz w:val="22"/>
      </w:rPr>
      <w:tcPr>
        <w:shd w:val="clear" w:color="auto" w:fill="FFFFFF" w:themeFill="accent3" w:themeFillTint="FE"/>
        <w:tc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tcBorders>
      </w:tcPr>
    </w:tblStylePr>
    <w:tblStylePr w:type="lastCol">
      <w:rPr>
        <w:b/>
        <w:color w:val="404040"/>
      </w:rPr>
    </w:tblStylePr>
    <w:tblStylePr w:type="lastRow">
      <w:rPr>
        <w:b/>
        <w:color w:val="404040"/>
      </w:rPr>
      <w:tcPr>
        <w:tcBorders>
          <w:top w:val="single" w:color="000000" w:sz="4" w:space="0" w:themeColor="accent3" w:themeTint="FE"/>
        </w:tcBorders>
      </w:tcPr>
    </w:tblStylePr>
  </w:style>
  <w:style w:type="table" w:styleId="78">
    <w:name w:val="Grid Table 4 - Accent 4"/>
    <w:basedOn w:val="397"/>
    <w:uiPriority w:val="5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V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34"/>
      </w:tcPr>
    </w:tblStylePr>
    <w:tblStylePr w:type="band1Vert">
      <w:rPr>
        <w:rFonts w:ascii="Arial" w:hAnsi="Arial"/>
        <w:color w:val="404040"/>
        <w:sz w:val="22"/>
      </w:rPr>
      <w:tcPr>
        <w:shd w:val="clear" w:color="auto" w:fill="FFFFFF" w:themeFill="accent4" w:themeFillTint="34"/>
      </w:tcPr>
    </w:tblStylePr>
    <w:tblStylePr w:type="firstCol">
      <w:rPr>
        <w:b/>
        <w:color w:val="404040"/>
      </w:rPr>
    </w:tblStylePr>
    <w:tblStylePr w:type="firstRow">
      <w:rPr>
        <w:rFonts w:ascii="Arial" w:hAnsi="Arial"/>
        <w:b/>
        <w:color w:val="FFFFFF"/>
        <w:sz w:val="22"/>
      </w:rPr>
      <w:tcPr>
        <w:shd w:val="clear" w:color="auto" w:fill="FFFFFF" w:themeFill="accent4" w:themeFillTint="9A"/>
        <w:tc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cBorders>
      </w:tcPr>
    </w:tblStylePr>
    <w:tblStylePr w:type="lastCol">
      <w:rPr>
        <w:b/>
        <w:color w:val="404040"/>
      </w:rPr>
    </w:tblStylePr>
    <w:tblStylePr w:type="lastRow">
      <w:rPr>
        <w:b/>
        <w:color w:val="404040"/>
      </w:rPr>
      <w:tcPr>
        <w:tcBorders>
          <w:top w:val="single" w:color="000000" w:sz="4" w:space="0" w:themeColor="accent4" w:themeTint="9A"/>
        </w:tcBorders>
      </w:tcPr>
    </w:tblStylePr>
  </w:style>
  <w:style w:type="table" w:styleId="79">
    <w:name w:val="Grid Table 4 - Accent 5"/>
    <w:basedOn w:val="397"/>
    <w:uiPriority w:val="5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34"/>
      </w:tcPr>
    </w:tblStylePr>
    <w:tblStylePr w:type="band1Vert">
      <w:rPr>
        <w:rFonts w:ascii="Arial" w:hAnsi="Arial"/>
        <w:color w:val="404040"/>
        <w:sz w:val="22"/>
      </w:rPr>
      <w:tcPr>
        <w:shd w:val="clear" w:color="auto" w:fill="FFFFFF" w:themeFill="accent5" w:themeFillTint="34"/>
      </w:tcPr>
    </w:tblStylePr>
    <w:tblStylePr w:type="firstCol">
      <w:rPr>
        <w:b/>
        <w:color w:val="404040"/>
      </w:rPr>
    </w:tblStylePr>
    <w:tblStylePr w:type="firstRow">
      <w:rPr>
        <w:rFonts w:ascii="Arial" w:hAnsi="Arial"/>
        <w:b/>
        <w:color w:val="FFFFFF"/>
        <w:sz w:val="22"/>
      </w:rPr>
      <w:tcPr>
        <w:shd w:val="clear" w:color="auto" w:fill="FFFFFF" w:themeFill="accent5"/>
        <w:tcBorders>
          <w:left w:val="single" w:color="000000" w:sz="4" w:space="0" w:themeColor="accent5"/>
          <w:top w:val="single" w:color="000000" w:sz="4" w:space="0" w:themeColor="accent5"/>
          <w:right w:val="single" w:color="000000" w:sz="4" w:space="0" w:themeColor="accent5"/>
          <w:bottom w:val="single" w:color="000000" w:sz="4" w:space="0" w:themeColor="accent5"/>
        </w:tcBorders>
      </w:tcPr>
    </w:tblStylePr>
    <w:tblStylePr w:type="lastCol">
      <w:rPr>
        <w:b/>
        <w:color w:val="404040"/>
      </w:rPr>
    </w:tblStylePr>
    <w:tblStylePr w:type="lastRow">
      <w:rPr>
        <w:b/>
        <w:color w:val="404040"/>
      </w:rPr>
      <w:tcPr>
        <w:tcBorders>
          <w:top w:val="single" w:color="000000" w:sz="4" w:space="0" w:themeColor="accent5"/>
        </w:tcBorders>
      </w:tcPr>
    </w:tblStylePr>
  </w:style>
  <w:style w:type="table" w:styleId="80">
    <w:name w:val="Grid Table 4 - Accent 6"/>
    <w:basedOn w:val="397"/>
    <w:uiPriority w:val="5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34"/>
      </w:tcPr>
    </w:tblStylePr>
    <w:tblStylePr w:type="band1Vert">
      <w:rPr>
        <w:rFonts w:ascii="Arial" w:hAnsi="Arial"/>
        <w:color w:val="404040"/>
        <w:sz w:val="22"/>
      </w:rPr>
      <w:tcPr>
        <w:shd w:val="clear" w:color="auto" w:fill="FFFFFF" w:themeFill="accent6" w:themeFillTint="34"/>
      </w:tcPr>
    </w:tblStylePr>
    <w:tblStylePr w:type="firstCol">
      <w:rPr>
        <w:b/>
        <w:color w:val="404040"/>
      </w:rPr>
    </w:tblStylePr>
    <w:tblStylePr w:type="firstRow">
      <w:rPr>
        <w:rFonts w:ascii="Arial" w:hAnsi="Arial"/>
        <w:b/>
        <w:color w:val="FFFFFF"/>
        <w:sz w:val="22"/>
      </w:rPr>
      <w:tcPr>
        <w:shd w:val="clear" w:color="auto" w:fill="FFFFFF" w:themeFill="accent6"/>
        <w:tcBorders>
          <w:left w:val="single" w:color="000000" w:sz="4" w:space="0" w:themeColor="accent6"/>
          <w:top w:val="single" w:color="000000" w:sz="4" w:space="0" w:themeColor="accent6"/>
          <w:right w:val="single" w:color="000000" w:sz="4" w:space="0" w:themeColor="accent6"/>
          <w:bottom w:val="single" w:color="000000" w:sz="4" w:space="0" w:themeColor="accent6"/>
        </w:tcBorders>
      </w:tcPr>
    </w:tblStylePr>
    <w:tblStylePr w:type="lastCol">
      <w:rPr>
        <w:b/>
        <w:color w:val="404040"/>
      </w:rPr>
    </w:tblStylePr>
    <w:tblStylePr w:type="lastRow">
      <w:rPr>
        <w:b/>
        <w:color w:val="404040"/>
      </w:rPr>
      <w:tcPr>
        <w:tcBorders>
          <w:top w:val="single" w:color="000000" w:sz="4" w:space="0" w:themeColor="accent6"/>
        </w:tcBorders>
      </w:tcPr>
    </w:tblStylePr>
  </w:style>
  <w:style w:type="table" w:styleId="81">
    <w:name w:val="Grid Table 5 Dark"/>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text1" w:themeFillTint="40"/>
    </w:tblPr>
    <w:tblStylePr w:type="band1Horz">
      <w:tcPr>
        <w:shd w:val="clear" w:color="auto" w:fill="FFFFFF" w:themeFill="text1" w:themeFillTint="75"/>
      </w:tcPr>
    </w:tblStylePr>
    <w:tblStylePr w:type="band1Vert">
      <w:tcPr>
        <w:shd w:val="clear" w:color="auto" w:fill="FFFFFF" w:themeFill="text1" w:themeFillTint="75"/>
      </w:tcPr>
    </w:tblStylePr>
    <w:tblStylePr w:type="firstCol">
      <w:rPr>
        <w:rFonts w:ascii="Arial" w:hAnsi="Arial"/>
        <w:b/>
        <w:color w:val="FFFFFF"/>
        <w:sz w:val="22"/>
      </w:rPr>
      <w:tcPr>
        <w:shd w:val="clear" w:color="auto" w:fill="FFFFFF" w:themeFill="text1"/>
      </w:tcPr>
    </w:tblStylePr>
    <w:tblStylePr w:type="firstRow">
      <w:rPr>
        <w:rFonts w:ascii="Arial" w:hAnsi="Arial"/>
        <w:b/>
        <w:color w:val="FFFFFF"/>
        <w:sz w:val="22"/>
      </w:rPr>
      <w:tcPr>
        <w:shd w:val="clear" w:color="auto" w:fill="FFFFFF" w:themeFill="text1"/>
      </w:tcPr>
    </w:tblStylePr>
    <w:tblStylePr w:type="lastCol">
      <w:rPr>
        <w:rFonts w:ascii="Arial" w:hAnsi="Arial"/>
        <w:b/>
        <w:color w:val="FFFFFF"/>
        <w:sz w:val="22"/>
      </w:rPr>
      <w:tcPr>
        <w:shd w:val="clear" w:color="auto" w:fill="FFFFFF" w:themeFill="text1"/>
      </w:tcPr>
    </w:tblStylePr>
    <w:tblStylePr w:type="lastRow">
      <w:rPr>
        <w:rFonts w:ascii="Arial" w:hAnsi="Arial"/>
        <w:b/>
        <w:color w:val="FFFFFF"/>
        <w:sz w:val="22"/>
      </w:rPr>
      <w:tcPr>
        <w:shd w:val="clear" w:color="auto" w:fill="FFFFFF" w:themeFill="text1"/>
        <w:tcBorders>
          <w:top w:val="single" w:color="000000" w:sz="4" w:space="0" w:themeColor="light1"/>
        </w:tcBorders>
      </w:tcPr>
    </w:tblStylePr>
  </w:style>
  <w:style w:type="table" w:styleId="82">
    <w:name w:val="Grid Table 5 Dark- Accent 1"/>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1" w:themeFillTint="34"/>
    </w:tblPr>
    <w:tblStylePr w:type="band1Horz">
      <w:tcPr>
        <w:shd w:val="clear" w:color="auto" w:fill="FFFFFF" w:themeFill="accent1" w:themeFillTint="75"/>
      </w:tcPr>
    </w:tblStylePr>
    <w:tblStylePr w:type="band1Vert">
      <w:tcPr>
        <w:shd w:val="clear" w:color="auto" w:fill="FFFFFF" w:themeFill="accent1" w:themeFillTint="75"/>
      </w:tcPr>
    </w:tblStylePr>
    <w:tblStylePr w:type="firstCol">
      <w:rPr>
        <w:rFonts w:ascii="Arial" w:hAnsi="Arial"/>
        <w:b/>
        <w:color w:val="FFFFFF"/>
        <w:sz w:val="22"/>
      </w:rPr>
      <w:tcPr>
        <w:shd w:val="clear" w:color="auto" w:fill="FFFFFF" w:themeFill="accent1"/>
      </w:tcPr>
    </w:tblStylePr>
    <w:tblStylePr w:type="firstRow">
      <w:rPr>
        <w:rFonts w:ascii="Arial" w:hAnsi="Arial"/>
        <w:b/>
        <w:color w:val="FFFFFF"/>
        <w:sz w:val="22"/>
      </w:rPr>
      <w:tcPr>
        <w:shd w:val="clear" w:color="auto" w:fill="FFFFFF" w:themeFill="accent1"/>
      </w:tcPr>
    </w:tblStylePr>
    <w:tblStylePr w:type="lastCol">
      <w:rPr>
        <w:rFonts w:ascii="Arial" w:hAnsi="Arial"/>
        <w:b/>
        <w:color w:val="FFFFFF"/>
        <w:sz w:val="22"/>
      </w:rPr>
      <w:tcPr>
        <w:shd w:val="clear" w:color="auto" w:fill="FFFFFF" w:themeFill="accent1"/>
      </w:tcPr>
    </w:tblStylePr>
    <w:tblStylePr w:type="lastRow">
      <w:rPr>
        <w:rFonts w:ascii="Arial" w:hAnsi="Arial"/>
        <w:b/>
        <w:color w:val="FFFFFF"/>
        <w:sz w:val="22"/>
      </w:rPr>
      <w:tcPr>
        <w:shd w:val="clear" w:color="auto" w:fill="FFFFFF" w:themeFill="accent1"/>
        <w:tcBorders>
          <w:top w:val="single" w:color="000000" w:sz="4" w:space="0" w:themeColor="light1"/>
        </w:tcBorders>
      </w:tcPr>
    </w:tblStylePr>
  </w:style>
  <w:style w:type="table" w:styleId="83">
    <w:name w:val="Grid Table 5 Dark - Accent 2"/>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2" w:themeFillTint="32"/>
    </w:tblPr>
    <w:tblStylePr w:type="band1Horz">
      <w:tcPr>
        <w:shd w:val="clear" w:color="auto" w:fill="FFFFFF" w:themeFill="accent2" w:themeFillTint="75"/>
      </w:tcPr>
    </w:tblStylePr>
    <w:tblStylePr w:type="band1Vert">
      <w:tcPr>
        <w:shd w:val="clear" w:color="auto" w:fill="FFFFFF" w:themeFill="accent2" w:themeFillTint="75"/>
      </w:tcPr>
    </w:tblStylePr>
    <w:tblStylePr w:type="firstCol">
      <w:rPr>
        <w:rFonts w:ascii="Arial" w:hAnsi="Arial"/>
        <w:b/>
        <w:color w:val="FFFFFF"/>
        <w:sz w:val="22"/>
      </w:rPr>
      <w:tcPr>
        <w:shd w:val="clear" w:color="auto" w:fill="FFFFFF" w:themeFill="accent2"/>
      </w:tcPr>
    </w:tblStylePr>
    <w:tblStylePr w:type="firstRow">
      <w:rPr>
        <w:rFonts w:ascii="Arial" w:hAnsi="Arial"/>
        <w:b/>
        <w:color w:val="FFFFFF"/>
        <w:sz w:val="22"/>
      </w:rPr>
      <w:tcPr>
        <w:shd w:val="clear" w:color="auto" w:fill="FFFFFF" w:themeFill="accent2"/>
      </w:tcPr>
    </w:tblStylePr>
    <w:tblStylePr w:type="lastCol">
      <w:rPr>
        <w:rFonts w:ascii="Arial" w:hAnsi="Arial"/>
        <w:b/>
        <w:color w:val="FFFFFF"/>
        <w:sz w:val="22"/>
      </w:rPr>
      <w:tcPr>
        <w:shd w:val="clear" w:color="auto" w:fill="FFFFFF" w:themeFill="accent2"/>
      </w:tcPr>
    </w:tblStylePr>
    <w:tblStylePr w:type="lastRow">
      <w:rPr>
        <w:rFonts w:ascii="Arial" w:hAnsi="Arial"/>
        <w:b/>
        <w:color w:val="FFFFFF"/>
        <w:sz w:val="22"/>
      </w:rPr>
      <w:tcPr>
        <w:shd w:val="clear" w:color="auto" w:fill="FFFFFF" w:themeFill="accent2"/>
        <w:tcBorders>
          <w:top w:val="single" w:color="000000" w:sz="4" w:space="0" w:themeColor="light1"/>
        </w:tcBorders>
      </w:tcPr>
    </w:tblStylePr>
  </w:style>
  <w:style w:type="table" w:styleId="84">
    <w:name w:val="Grid Table 5 Dark - Accent 3"/>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3" w:themeFillTint="34"/>
    </w:tblPr>
    <w:tblStylePr w:type="band1Horz">
      <w:tcPr>
        <w:shd w:val="clear" w:color="auto" w:fill="FFFFFF" w:themeFill="accent3" w:themeFillTint="75"/>
      </w:tcPr>
    </w:tblStylePr>
    <w:tblStylePr w:type="band1Vert">
      <w:tcPr>
        <w:shd w:val="clear" w:color="auto" w:fill="FFFFFF" w:themeFill="accent3" w:themeFillTint="75"/>
      </w:tcPr>
    </w:tblStylePr>
    <w:tblStylePr w:type="firstCol">
      <w:rPr>
        <w:rFonts w:ascii="Arial" w:hAnsi="Arial"/>
        <w:b/>
        <w:color w:val="FFFFFF"/>
        <w:sz w:val="22"/>
      </w:rPr>
      <w:tcPr>
        <w:shd w:val="clear" w:color="auto" w:fill="FFFFFF" w:themeFill="accent3"/>
      </w:tcPr>
    </w:tblStylePr>
    <w:tblStylePr w:type="firstRow">
      <w:rPr>
        <w:rFonts w:ascii="Arial" w:hAnsi="Arial"/>
        <w:b/>
        <w:color w:val="FFFFFF"/>
        <w:sz w:val="22"/>
      </w:rPr>
      <w:tcPr>
        <w:shd w:val="clear" w:color="auto" w:fill="FFFFFF" w:themeFill="accent3"/>
      </w:tcPr>
    </w:tblStylePr>
    <w:tblStylePr w:type="lastCol">
      <w:rPr>
        <w:rFonts w:ascii="Arial" w:hAnsi="Arial"/>
        <w:b/>
        <w:color w:val="FFFFFF"/>
        <w:sz w:val="22"/>
      </w:rPr>
      <w:tcPr>
        <w:shd w:val="clear" w:color="auto" w:fill="FFFFFF" w:themeFill="accent3"/>
      </w:tcPr>
    </w:tblStylePr>
    <w:tblStylePr w:type="lastRow">
      <w:rPr>
        <w:rFonts w:ascii="Arial" w:hAnsi="Arial"/>
        <w:b/>
        <w:color w:val="FFFFFF"/>
        <w:sz w:val="22"/>
      </w:rPr>
      <w:tcPr>
        <w:shd w:val="clear" w:color="auto" w:fill="FFFFFF" w:themeFill="accent3"/>
        <w:tcBorders>
          <w:top w:val="single" w:color="000000" w:sz="4" w:space="0" w:themeColor="light1"/>
        </w:tcBorders>
      </w:tcPr>
    </w:tblStylePr>
  </w:style>
  <w:style w:type="table" w:styleId="85">
    <w:name w:val="Grid Table 5 Dark- Accent 4"/>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4" w:themeFillTint="34"/>
    </w:tblPr>
    <w:tblStylePr w:type="band1Horz">
      <w:tcPr>
        <w:shd w:val="clear" w:color="auto" w:fill="FFFFFF" w:themeFill="accent4" w:themeFillTint="75"/>
      </w:tcPr>
    </w:tblStylePr>
    <w:tblStylePr w:type="band1Vert">
      <w:tcPr>
        <w:shd w:val="clear" w:color="auto" w:fill="FFFFFF" w:themeFill="accent4" w:themeFillTint="75"/>
      </w:tcPr>
    </w:tblStylePr>
    <w:tblStylePr w:type="firstCol">
      <w:rPr>
        <w:rFonts w:ascii="Arial" w:hAnsi="Arial"/>
        <w:b/>
        <w:color w:val="FFFFFF"/>
        <w:sz w:val="22"/>
      </w:rPr>
      <w:tcPr>
        <w:shd w:val="clear" w:color="auto" w:fill="FFFFFF" w:themeFill="accent4"/>
      </w:tcPr>
    </w:tblStylePr>
    <w:tblStylePr w:type="firstRow">
      <w:rPr>
        <w:rFonts w:ascii="Arial" w:hAnsi="Arial"/>
        <w:b/>
        <w:color w:val="FFFFFF"/>
        <w:sz w:val="22"/>
      </w:rPr>
      <w:tcPr>
        <w:shd w:val="clear" w:color="auto" w:fill="FFFFFF" w:themeFill="accent4"/>
      </w:tcPr>
    </w:tblStylePr>
    <w:tblStylePr w:type="lastCol">
      <w:rPr>
        <w:rFonts w:ascii="Arial" w:hAnsi="Arial"/>
        <w:b/>
        <w:color w:val="FFFFFF"/>
        <w:sz w:val="22"/>
      </w:rPr>
      <w:tcPr>
        <w:shd w:val="clear" w:color="auto" w:fill="FFFFFF" w:themeFill="accent4"/>
      </w:tcPr>
    </w:tblStylePr>
    <w:tblStylePr w:type="lastRow">
      <w:rPr>
        <w:rFonts w:ascii="Arial" w:hAnsi="Arial"/>
        <w:b/>
        <w:color w:val="FFFFFF"/>
        <w:sz w:val="22"/>
      </w:rPr>
      <w:tcPr>
        <w:shd w:val="clear" w:color="auto" w:fill="FFFFFF" w:themeFill="accent4"/>
        <w:tcBorders>
          <w:top w:val="single" w:color="000000" w:sz="4" w:space="0" w:themeColor="light1"/>
        </w:tcBorders>
      </w:tcPr>
    </w:tblStylePr>
  </w:style>
  <w:style w:type="table" w:styleId="86">
    <w:name w:val="Grid Table 5 Dark - Accent 5"/>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5" w:themeFillTint="34"/>
    </w:tblPr>
    <w:tblStylePr w:type="band1Horz">
      <w:tcPr>
        <w:shd w:val="clear" w:color="auto" w:fill="FFFFFF" w:themeFill="accent5" w:themeFillTint="75"/>
      </w:tcPr>
    </w:tblStylePr>
    <w:tblStylePr w:type="band1Vert">
      <w:tcPr>
        <w:shd w:val="clear" w:color="auto" w:fill="FFFFFF" w:themeFill="accent5" w:themeFillTint="75"/>
      </w:tcPr>
    </w:tblStylePr>
    <w:tblStylePr w:type="firstCol">
      <w:rPr>
        <w:rFonts w:ascii="Arial" w:hAnsi="Arial"/>
        <w:b/>
        <w:color w:val="FFFFFF"/>
        <w:sz w:val="22"/>
      </w:rPr>
      <w:tcPr>
        <w:shd w:val="clear" w:color="auto" w:fill="FFFFFF" w:themeFill="accent5"/>
      </w:tcPr>
    </w:tblStylePr>
    <w:tblStylePr w:type="firstRow">
      <w:rPr>
        <w:rFonts w:ascii="Arial" w:hAnsi="Arial"/>
        <w:b/>
        <w:color w:val="FFFFFF"/>
        <w:sz w:val="22"/>
      </w:rPr>
      <w:tcPr>
        <w:shd w:val="clear" w:color="auto" w:fill="FFFFFF" w:themeFill="accent5"/>
      </w:tcPr>
    </w:tblStylePr>
    <w:tblStylePr w:type="lastCol">
      <w:rPr>
        <w:rFonts w:ascii="Arial" w:hAnsi="Arial"/>
        <w:b/>
        <w:color w:val="FFFFFF"/>
        <w:sz w:val="22"/>
      </w:rPr>
      <w:tcPr>
        <w:shd w:val="clear" w:color="auto" w:fill="FFFFFF" w:themeFill="accent5"/>
      </w:tcPr>
    </w:tblStylePr>
    <w:tblStylePr w:type="lastRow">
      <w:rPr>
        <w:rFonts w:ascii="Arial" w:hAnsi="Arial"/>
        <w:b/>
        <w:color w:val="FFFFFF"/>
        <w:sz w:val="22"/>
      </w:rPr>
      <w:tcPr>
        <w:shd w:val="clear" w:color="auto" w:fill="FFFFFF" w:themeFill="accent5"/>
        <w:tcBorders>
          <w:top w:val="single" w:color="000000" w:sz="4" w:space="0" w:themeColor="light1"/>
        </w:tcBorders>
      </w:tcPr>
    </w:tblStylePr>
  </w:style>
  <w:style w:type="table" w:styleId="87">
    <w:name w:val="Grid Table 5 Dark - Accent 6"/>
    <w:basedOn w:val="397"/>
    <w:uiPriority w:val="99"/>
    <w:pPr>
      <w:spacing w:lineRule="auto" w:line="240" w:after="0"/>
    </w:pPr>
    <w:tblPr>
      <w:tblStyleRowBandSize w:val="1"/>
      <w:tblStyleColBandSize w:val="1"/>
      <w:tblInd w:w="0" w:type="dxa"/>
      <w:tblBorders>
        <w:left w:val="single" w:color="000000" w:sz="4" w:space="0" w:themeColor="light1"/>
        <w:top w:val="single" w:color="000000" w:sz="4" w:space="0" w:themeColor="light1"/>
        <w:right w:val="single" w:color="000000" w:sz="4" w:space="0" w:themeColor="light1"/>
        <w:bottom w:val="single" w:color="000000" w:sz="4" w:space="0" w:themeColor="light1"/>
        <w:insideV w:val="single" w:color="000000" w:sz="4" w:space="0" w:themeColor="light1"/>
        <w:insideH w:val="single" w:color="000000" w:sz="4" w:space="0" w:themeColor="light1"/>
      </w:tblBorders>
      <w:shd w:val="clear" w:color="auto" w:fill="FFFFFF" w:themeFill="accent6" w:themeFillTint="34"/>
    </w:tblPr>
    <w:tblStylePr w:type="band1Horz">
      <w:tcPr>
        <w:shd w:val="clear" w:color="auto" w:fill="FFFFFF" w:themeFill="accent6" w:themeFillTint="75"/>
      </w:tcPr>
    </w:tblStylePr>
    <w:tblStylePr w:type="band1Vert">
      <w:tcPr>
        <w:shd w:val="clear" w:color="auto" w:fill="FFFFFF" w:themeFill="accent6" w:themeFillTint="75"/>
      </w:tcPr>
    </w:tblStylePr>
    <w:tblStylePr w:type="firstCol">
      <w:rPr>
        <w:rFonts w:ascii="Arial" w:hAnsi="Arial"/>
        <w:b/>
        <w:color w:val="FFFFFF"/>
        <w:sz w:val="22"/>
      </w:rPr>
      <w:tcPr>
        <w:shd w:val="clear" w:color="auto" w:fill="FFFFFF" w:themeFill="accent6"/>
      </w:tcPr>
    </w:tblStylePr>
    <w:tblStylePr w:type="firstRow">
      <w:rPr>
        <w:rFonts w:ascii="Arial" w:hAnsi="Arial"/>
        <w:b/>
        <w:color w:val="FFFFFF"/>
        <w:sz w:val="22"/>
      </w:rPr>
      <w:tcPr>
        <w:shd w:val="clear" w:color="auto" w:fill="FFFFFF" w:themeFill="accent6"/>
      </w:tcPr>
    </w:tblStylePr>
    <w:tblStylePr w:type="lastCol">
      <w:rPr>
        <w:rFonts w:ascii="Arial" w:hAnsi="Arial"/>
        <w:b/>
        <w:color w:val="FFFFFF"/>
        <w:sz w:val="22"/>
      </w:rPr>
      <w:tcPr>
        <w:shd w:val="clear" w:color="auto" w:fill="FFFFFF" w:themeFill="accent6"/>
      </w:tcPr>
    </w:tblStylePr>
    <w:tblStylePr w:type="lastRow">
      <w:rPr>
        <w:rFonts w:ascii="Arial" w:hAnsi="Arial"/>
        <w:b/>
        <w:color w:val="FFFFFF"/>
        <w:sz w:val="22"/>
      </w:rPr>
      <w:tcPr>
        <w:shd w:val="clear" w:color="auto" w:fill="FFFFFF" w:themeFill="accent6"/>
        <w:tcBorders>
          <w:top w:val="single" w:color="000000" w:sz="4" w:space="0" w:themeColor="light1"/>
        </w:tcBorders>
      </w:tcPr>
    </w:tblStylePr>
  </w:style>
  <w:style w:type="table" w:styleId="88">
    <w:name w:val="Grid Table 6 Colorful"/>
    <w:basedOn w:val="397"/>
    <w:uiPriority w:val="99"/>
    <w:pPr>
      <w:spacing w:lineRule="auto" w:line="240" w:after="0"/>
    </w:pPr>
    <w:tblPr>
      <w:tblStyleRowBandSize w:val="1"/>
      <w:tblStyleColBandSize w:val="1"/>
      <w:tblInd w:w="0" w:type="dxa"/>
      <w:tblBorders>
        <w:left w:val="single" w:color="000000" w:sz="4" w:space="0" w:themeColor="text1" w:themeTint="80"/>
        <w:top w:val="single" w:color="000000" w:sz="4" w:space="0" w:themeColor="text1" w:themeTint="80"/>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04040" w:themeColor="text1" w:themeTint="80" w:themeShade="95"/>
        <w:sz w:val="22"/>
      </w:rPr>
      <w:tcPr>
        <w:shd w:val="clear" w:color="auto" w:fill="FFFFFF" w:themeFill="text1" w:themeFillTint="34"/>
      </w:tcPr>
    </w:tblStylePr>
    <w:tblStylePr w:type="band1Vert">
      <w:tcPr>
        <w:shd w:val="clear" w:color="auto" w:fill="FFFFFF" w:themeFill="text1" w:themeFillTint="34"/>
      </w:tcPr>
    </w:tblStylePr>
    <w:tblStylePr w:type="band2Horz">
      <w:rPr>
        <w:rFonts w:ascii="Arial" w:hAnsi="Arial"/>
        <w:color w:val="404040" w:themeColor="text1" w:themeTint="80" w:themeShade="95"/>
        <w:sz w:val="22"/>
      </w:rPr>
    </w:tblStylePr>
    <w:tblStylePr w:type="firstCol">
      <w:rPr>
        <w:b/>
        <w:color w:val="4A4A4A" w:themeColor="text1" w:themeTint="80" w:themeShade="95"/>
      </w:rPr>
    </w:tblStylePr>
    <w:tblStylePr w:type="firstRow">
      <w:rPr>
        <w:b/>
        <w:color w:val="4A4A4A" w:themeColor="text1" w:themeTint="80" w:themeShade="95"/>
      </w:rPr>
      <w:tcPr>
        <w:tcBorders>
          <w:bottom w:val="single" w:color="000000" w:sz="12" w:space="0" w:themeColor="text1" w:themeTint="80"/>
        </w:tcBorders>
      </w:tcPr>
    </w:tblStylePr>
    <w:tblStylePr w:type="lastCol">
      <w:rPr>
        <w:b/>
        <w:color w:val="4A4A4A" w:themeColor="text1" w:themeTint="80" w:themeShade="95"/>
      </w:rPr>
    </w:tblStylePr>
    <w:tblStylePr w:type="lastRow">
      <w:rPr>
        <w:b/>
        <w:color w:val="4A4A4A" w:themeColor="text1" w:themeTint="80" w:themeShade="95"/>
      </w:rPr>
    </w:tblStylePr>
    <w:tblStylePr w:type="wholeTable">
      <w:rPr>
        <w:rFonts w:ascii="Arial" w:hAnsi="Arial"/>
        <w:color w:val="404040" w:themeColor="text1" w:themeTint="80" w:themeShade="95"/>
        <w:sz w:val="22"/>
      </w:rPr>
    </w:tblStylePr>
  </w:style>
  <w:style w:type="table" w:styleId="89">
    <w:name w:val="Grid Table 6 Colorful - Accent 1"/>
    <w:basedOn w:val="397"/>
    <w:uiPriority w:val="99"/>
    <w:pPr>
      <w:spacing w:lineRule="auto" w:line="240" w:after="0"/>
    </w:pPr>
    <w:tblPr>
      <w:tblStyleRowBandSize w:val="1"/>
      <w:tblStyleColBandSize w:val="1"/>
      <w:tblInd w:w="0" w:type="dxa"/>
      <w:tblBorders>
        <w:left w:val="single" w:color="000000" w:sz="4" w:space="0" w:themeColor="accent1" w:themeTint="80"/>
        <w:top w:val="single" w:color="000000" w:sz="4" w:space="0" w:themeColor="accent1" w:themeTint="80"/>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404040"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404040" w:themeColor="accent1" w:themeTint="80" w:themeShade="95"/>
        <w:sz w:val="22"/>
      </w:rPr>
    </w:tblStylePr>
    <w:tblStylePr w:type="firstCol">
      <w:rPr>
        <w:b/>
        <w:color w:val="317BBA" w:themeColor="accent1" w:themeTint="80" w:themeShade="95"/>
      </w:rPr>
    </w:tblStylePr>
    <w:tblStylePr w:type="firstRow">
      <w:rPr>
        <w:b/>
        <w:color w:val="317BBA" w:themeColor="accent1" w:themeTint="80" w:themeShade="95"/>
      </w:rPr>
      <w:tcPr>
        <w:tcBorders>
          <w:bottom w:val="single" w:color="000000" w:sz="12" w:space="0" w:themeColor="accent1" w:themeTint="80"/>
        </w:tcBorders>
      </w:tcPr>
    </w:tblStylePr>
    <w:tblStylePr w:type="lastCol">
      <w:rPr>
        <w:b/>
        <w:color w:val="317BBA" w:themeColor="accent1" w:themeTint="80" w:themeShade="95"/>
      </w:rPr>
    </w:tblStylePr>
    <w:tblStylePr w:type="lastRow">
      <w:rPr>
        <w:b/>
        <w:color w:val="317BBA" w:themeColor="accent1" w:themeTint="80" w:themeShade="95"/>
      </w:rPr>
    </w:tblStylePr>
    <w:tblStylePr w:type="wholeTable">
      <w:rPr>
        <w:rFonts w:ascii="Arial" w:hAnsi="Arial"/>
        <w:color w:val="404040" w:themeColor="accent1" w:themeTint="80" w:themeShade="95"/>
        <w:sz w:val="22"/>
      </w:rPr>
    </w:tblStylePr>
  </w:style>
  <w:style w:type="table" w:styleId="90">
    <w:name w:val="Grid Table 6 Colorful - Accent 2"/>
    <w:basedOn w:val="39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12"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blStylePr>
    <w:tblStylePr w:type="wholeTable">
      <w:rPr>
        <w:rFonts w:ascii="Arial" w:hAnsi="Arial"/>
        <w:color w:val="404040" w:themeColor="accent2" w:themeTint="97" w:themeShade="95"/>
        <w:sz w:val="22"/>
      </w:rPr>
    </w:tblStylePr>
  </w:style>
  <w:style w:type="table" w:styleId="91">
    <w:name w:val="Grid Table 6 Colorful - Accent 3"/>
    <w:basedOn w:val="397"/>
    <w:uiPriority w:val="99"/>
    <w:pPr>
      <w:spacing w:lineRule="auto" w:line="240" w:after="0"/>
    </w:pPr>
    <w:tblPr>
      <w:tblStyleRowBandSize w:val="1"/>
      <w:tblStyleColBandSize w:val="1"/>
      <w:tblInd w:w="0" w:type="dxa"/>
      <w:tblBorders>
        <w:left w:val="single" w:color="000000" w:sz="4" w:space="0" w:themeColor="accent3" w:themeTint="FE"/>
        <w:top w:val="single" w:color="000000" w:sz="4" w:space="0" w:themeColor="accent3" w:themeTint="FE"/>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40404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404040" w:themeColor="accent3" w:themeTint="FE" w:themeShade="95"/>
        <w:sz w:val="22"/>
      </w:rPr>
    </w:tblStylePr>
    <w:tblStylePr w:type="firstCol">
      <w:rPr>
        <w:b/>
        <w:color w:val="606060" w:themeColor="accent3" w:themeTint="FE" w:themeShade="95"/>
      </w:rPr>
    </w:tblStylePr>
    <w:tblStylePr w:type="firstRow">
      <w:rPr>
        <w:b/>
        <w:color w:val="606060" w:themeColor="accent3" w:themeTint="FE" w:themeShade="95"/>
      </w:rPr>
      <w:tcPr>
        <w:tcBorders>
          <w:bottom w:val="single" w:color="000000" w:sz="12" w:space="0" w:themeColor="accent3" w:themeTint="FE"/>
        </w:tcBorders>
      </w:tcPr>
    </w:tblStylePr>
    <w:tblStylePr w:type="lastCol">
      <w:rPr>
        <w:b/>
        <w:color w:val="606060" w:themeColor="accent3" w:themeTint="FE" w:themeShade="95"/>
      </w:rPr>
    </w:tblStylePr>
    <w:tblStylePr w:type="lastRow">
      <w:rPr>
        <w:b/>
        <w:color w:val="606060" w:themeColor="accent3" w:themeTint="FE" w:themeShade="95"/>
      </w:rPr>
    </w:tblStylePr>
    <w:tblStylePr w:type="wholeTable">
      <w:rPr>
        <w:rFonts w:ascii="Arial" w:hAnsi="Arial"/>
        <w:color w:val="404040" w:themeColor="accent3" w:themeTint="FE" w:themeShade="95"/>
        <w:sz w:val="22"/>
      </w:rPr>
    </w:tblStylePr>
  </w:style>
  <w:style w:type="table" w:styleId="92">
    <w:name w:val="Grid Table 6 Colorful - Accent 4"/>
    <w:basedOn w:val="39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12"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blStylePr>
    <w:tblStylePr w:type="wholeTable">
      <w:rPr>
        <w:rFonts w:ascii="Arial" w:hAnsi="Arial"/>
        <w:color w:val="404040" w:themeColor="accent4" w:themeTint="9A" w:themeShade="95"/>
        <w:sz w:val="22"/>
      </w:rPr>
    </w:tblStylePr>
  </w:style>
  <w:style w:type="table" w:styleId="93">
    <w:name w:val="Grid Table 6 Colorful - Accent 5"/>
    <w:basedOn w:val="397"/>
    <w:uiPriority w:val="99"/>
    <w:pPr>
      <w:spacing w:lineRule="auto" w:line="240" w:after="0"/>
    </w:pPr>
    <w:tblPr>
      <w:tblStyleRowBandSize w:val="1"/>
      <w:tblStyleColBandSize w:val="1"/>
      <w:tblInd w:w="0" w:type="dxa"/>
      <w:tblBorders>
        <w:left w:val="single" w:color="000000" w:sz="4" w:space="0" w:themeColor="accent5"/>
        <w:top w:val="single" w:color="000000" w:sz="4" w:space="0" w:themeColor="accent5"/>
        <w:right w:val="single" w:color="000000" w:sz="4" w:space="0" w:themeColor="accent5"/>
        <w:bottom w:val="single" w:color="000000" w:sz="4" w:space="0" w:themeColor="accent5"/>
        <w:insideV w:val="single" w:color="000000" w:sz="4" w:space="0" w:themeColor="accent5"/>
        <w:insideH w:val="single" w:color="000000" w:sz="4" w:space="0" w:themeColor="accent5"/>
      </w:tblBorders>
    </w:tblPr>
    <w:tblStylePr w:type="band1Horz">
      <w:rPr>
        <w:rFonts w:ascii="Arial" w:hAnsi="Arial"/>
        <w:color w:val="404040"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5"/>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4">
    <w:name w:val="Grid Table 6 Colorful - Accent 6"/>
    <w:basedOn w:val="397"/>
    <w:uiPriority w:val="99"/>
    <w:pPr>
      <w:spacing w:lineRule="auto" w:line="240" w:after="0"/>
    </w:pPr>
    <w:tblPr>
      <w:tblStyleRowBandSize w:val="1"/>
      <w:tblStyleColBandSize w:val="1"/>
      <w:tblInd w:w="0" w:type="dxa"/>
      <w:tblBorders>
        <w:left w:val="single" w:color="000000" w:sz="4" w:space="0" w:themeColor="accent6"/>
        <w:top w:val="single" w:color="000000" w:sz="4" w:space="0" w:themeColor="accent6"/>
        <w:right w:val="single" w:color="000000" w:sz="4" w:space="0" w:themeColor="accent6"/>
        <w:bottom w:val="single" w:color="000000" w:sz="4" w:space="0" w:themeColor="accent6"/>
        <w:insideV w:val="single" w:color="000000" w:sz="4" w:space="0" w:themeColor="accent6"/>
        <w:insideH w:val="single" w:color="000000" w:sz="4" w:space="0" w:themeColor="accent6"/>
      </w:tblBorders>
    </w:tblPr>
    <w:tblStylePr w:type="band1Horz">
      <w:rPr>
        <w:rFonts w:ascii="Arial" w:hAnsi="Arial"/>
        <w:color w:val="404040" w:themeColor="accent5"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04040" w:themeColor="accent5" w:themeShade="95"/>
        <w:sz w:val="22"/>
      </w:rPr>
    </w:tblStylePr>
    <w:tblStylePr w:type="firstCol">
      <w:rPr>
        <w:b/>
        <w:color w:val="254374" w:themeColor="accent5" w:themeShade="95"/>
      </w:rPr>
    </w:tblStylePr>
    <w:tblStylePr w:type="firstRow">
      <w:rPr>
        <w:b/>
        <w:color w:val="254374" w:themeColor="accent5" w:themeShade="95"/>
      </w:rPr>
      <w:tcPr>
        <w:tcBorders>
          <w:bottom w:val="single" w:color="000000" w:sz="12" w:space="0" w:themeColor="accent6"/>
        </w:tcBorders>
      </w:tcPr>
    </w:tblStylePr>
    <w:tblStylePr w:type="lastCol">
      <w:rPr>
        <w:b/>
        <w:color w:val="254374" w:themeColor="accent5" w:themeShade="95"/>
      </w:rPr>
    </w:tblStylePr>
    <w:tblStylePr w:type="lastRow">
      <w:rPr>
        <w:b/>
        <w:color w:val="254374" w:themeColor="accent5" w:themeShade="95"/>
      </w:rPr>
    </w:tblStylePr>
    <w:tblStylePr w:type="wholeTable">
      <w:rPr>
        <w:rFonts w:ascii="Arial" w:hAnsi="Arial"/>
        <w:color w:val="404040" w:themeColor="accent5" w:themeShade="95"/>
        <w:sz w:val="22"/>
      </w:rPr>
    </w:tblStylePr>
  </w:style>
  <w:style w:type="table" w:styleId="95">
    <w:name w:val="Grid Table 7 Colorful"/>
    <w:basedOn w:val="397"/>
    <w:uiPriority w:val="99"/>
    <w:pPr>
      <w:spacing w:lineRule="auto" w:line="240" w:after="0"/>
    </w:pPr>
    <w:tblPr>
      <w:tblStyleRowBandSize w:val="1"/>
      <w:tblStyleColBandSize w:val="1"/>
      <w:tblInd w:w="0" w:type="dxa"/>
      <w:tblBorders>
        <w:right w:val="single" w:color="000000" w:sz="4" w:space="0" w:themeColor="text1" w:themeTint="80"/>
        <w:bottom w:val="single" w:color="000000" w:sz="4" w:space="0" w:themeColor="text1" w:themeTint="80"/>
        <w:insideV w:val="single" w:color="000000" w:sz="4" w:space="0" w:themeColor="text1" w:themeTint="80"/>
        <w:insideH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0D"/>
      </w:tcPr>
    </w:tblStylePr>
    <w:tblStylePr w:type="band1Vert">
      <w:tcPr>
        <w:shd w:val="clear" w:color="auto" w:fill="FFFFFF" w:themeFill="text1" w:themeFillTint="0D"/>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b/>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b/>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style>
  <w:style w:type="table" w:styleId="96">
    <w:name w:val="Grid Table 7 Colorful - Accent 1"/>
    <w:basedOn w:val="397"/>
    <w:uiPriority w:val="99"/>
    <w:pPr>
      <w:spacing w:lineRule="auto" w:line="240" w:after="0"/>
    </w:pPr>
    <w:tblPr>
      <w:tblStyleRowBandSize w:val="1"/>
      <w:tblStyleColBandSize w:val="1"/>
      <w:tblInd w:w="0" w:type="dxa"/>
      <w:tblBorders>
        <w:right w:val="single" w:color="000000" w:sz="4" w:space="0" w:themeColor="accent1" w:themeTint="80"/>
        <w:bottom w:val="single" w:color="000000" w:sz="4" w:space="0" w:themeColor="accent1" w:themeTint="80"/>
        <w:insideV w:val="single" w:color="000000" w:sz="4" w:space="0" w:themeColor="accent1" w:themeTint="80"/>
        <w:insideH w:val="single" w:color="000000" w:sz="4" w:space="0" w:themeColor="accent1" w:themeTint="80"/>
      </w:tblBorders>
    </w:tblPr>
    <w:tblStylePr w:type="band1Horz">
      <w:rPr>
        <w:rFonts w:ascii="Arial" w:hAnsi="Arial"/>
        <w:color w:val="317BBA" w:themeColor="accent1" w:themeTint="80" w:themeShade="95"/>
        <w:sz w:val="22"/>
      </w:rPr>
      <w:tcPr>
        <w:shd w:val="clear" w:color="auto" w:fill="FFFFFF" w:themeFill="accent1" w:themeFillTint="34"/>
      </w:tcPr>
    </w:tblStylePr>
    <w:tblStylePr w:type="band1Vert">
      <w:tcPr>
        <w:shd w:val="clear" w:color="auto" w:fill="FFFFFF" w:themeFill="accent1" w:themeFillTint="34"/>
      </w:tcPr>
    </w:tblStylePr>
    <w:tblStylePr w:type="band2Horz">
      <w:rPr>
        <w:rFonts w:ascii="Arial" w:hAnsi="Arial"/>
        <w:color w:val="317BBA" w:themeColor="accent1" w:themeTint="80" w:themeShade="95"/>
        <w:sz w:val="22"/>
      </w:rPr>
    </w:tblStylePr>
    <w:tblStylePr w:type="firstCol">
      <w:rPr>
        <w:rFonts w:ascii="Arial" w:hAnsi="Arial"/>
        <w:i/>
        <w:color w:val="317BBA" w:themeColor="accent1" w:themeTint="80" w:themeShade="95"/>
        <w:sz w:val="22"/>
      </w:rPr>
      <w:pPr>
        <w:jc w:val="right"/>
      </w:pPr>
      <w:tcPr>
        <w:shd w:color="auto" w:fill="FFFFFF"/>
        <w:tcBorders>
          <w:left w:val="none"/>
          <w:top w:val="none"/>
          <w:right w:val="single" w:color="000000" w:sz="4" w:space="0" w:themeColor="accent1" w:themeTint="80"/>
          <w:bottom w:val="none"/>
        </w:tcBorders>
      </w:tcPr>
    </w:tblStylePr>
    <w:tblStylePr w:type="firstRow">
      <w:rPr>
        <w:rFonts w:ascii="Arial" w:hAnsi="Arial"/>
        <w:b/>
        <w:color w:val="317BBA" w:themeColor="accent1" w:themeTint="80" w:themeShade="95"/>
        <w:sz w:val="22"/>
      </w:rPr>
      <w:tcPr>
        <w:shd w:val="clear" w:color="auto" w:fill="FFFFFF" w:themeFill="light1"/>
        <w:tcBorders>
          <w:left w:val="none"/>
          <w:top w:val="none"/>
          <w:right w:val="none"/>
          <w:bottom w:val="single" w:color="000000" w:sz="4" w:space="0" w:themeColor="accent1" w:themeTint="80"/>
        </w:tcBorders>
      </w:tcPr>
    </w:tblStylePr>
    <w:tblStylePr w:type="lastCol">
      <w:rPr>
        <w:rFonts w:ascii="Arial" w:hAnsi="Arial"/>
        <w:i/>
        <w:color w:val="317BBA" w:themeColor="accent1" w:themeTint="80" w:themeShade="95"/>
        <w:sz w:val="22"/>
      </w:rPr>
      <w:tcPr>
        <w:shd w:color="auto" w:fill="FFFFFF"/>
        <w:tcBorders>
          <w:left w:val="single" w:color="000000" w:sz="4" w:space="0" w:themeColor="accent1" w:themeTint="80"/>
          <w:top w:val="none"/>
          <w:right w:val="none"/>
          <w:bottom w:val="none"/>
        </w:tcBorders>
      </w:tcPr>
    </w:tblStylePr>
    <w:tblStylePr w:type="lastRow">
      <w:rPr>
        <w:rFonts w:ascii="Arial" w:hAnsi="Arial"/>
        <w:b/>
        <w:color w:val="317BBA" w:themeColor="accent1" w:themeTint="80" w:themeShade="95"/>
        <w:sz w:val="22"/>
      </w:rPr>
      <w:tcPr>
        <w:shd w:val="clear" w:color="auto" w:fill="FFFFFF" w:themeFill="light1"/>
        <w:tcBorders>
          <w:left w:val="none"/>
          <w:top w:val="single" w:color="000000" w:sz="4" w:space="0" w:themeColor="accent1" w:themeTint="80"/>
          <w:right w:val="none"/>
          <w:bottom w:val="none"/>
        </w:tcBorders>
      </w:tcPr>
    </w:tblStylePr>
  </w:style>
  <w:style w:type="table" w:styleId="97">
    <w:name w:val="Grid Table 7 Colorful - Accent 2"/>
    <w:basedOn w:val="397"/>
    <w:uiPriority w:val="99"/>
    <w:pPr>
      <w:spacing w:lineRule="auto" w:line="240" w:after="0"/>
    </w:pPr>
    <w:tblPr>
      <w:tblStyleRowBandSize w:val="1"/>
      <w:tblStyleColBandSize w:val="1"/>
      <w:tblInd w:w="0" w:type="dxa"/>
      <w:tblBorders>
        <w:right w:val="single" w:color="000000" w:sz="4" w:space="0" w:themeColor="accent2" w:themeTint="97"/>
        <w:bottom w:val="single" w:color="000000" w:sz="4" w:space="0" w:themeColor="accent2" w:themeTint="97"/>
        <w:insideV w:val="single" w:color="000000" w:sz="4" w:space="0" w:themeColor="accent2" w:themeTint="97"/>
        <w:insideH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32"/>
      </w:tcPr>
    </w:tblStylePr>
    <w:tblStylePr w:type="band1Vert">
      <w:tcPr>
        <w:shd w:val="clear" w:color="auto" w:fill="FFFFFF" w:themeFill="accent2" w:themeFillTint="32"/>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b/>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b/>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style>
  <w:style w:type="table" w:styleId="98">
    <w:name w:val="Grid Table 7 Colorful - Accent 3"/>
    <w:basedOn w:val="397"/>
    <w:uiPriority w:val="99"/>
    <w:pPr>
      <w:spacing w:lineRule="auto" w:line="240" w:after="0"/>
    </w:pPr>
    <w:tblPr>
      <w:tblStyleRowBandSize w:val="1"/>
      <w:tblStyleColBandSize w:val="1"/>
      <w:tblInd w:w="0" w:type="dxa"/>
      <w:tblBorders>
        <w:right w:val="single" w:color="000000" w:sz="4" w:space="0" w:themeColor="accent3" w:themeTint="FE"/>
        <w:bottom w:val="single" w:color="000000" w:sz="4" w:space="0" w:themeColor="accent3" w:themeTint="FE"/>
        <w:insideV w:val="single" w:color="000000" w:sz="4" w:space="0" w:themeColor="accent3" w:themeTint="FE"/>
        <w:insideH w:val="single" w:color="000000" w:sz="4" w:space="0" w:themeColor="accent3" w:themeTint="FE"/>
      </w:tblBorders>
    </w:tblPr>
    <w:tblStylePr w:type="band1Horz">
      <w:rPr>
        <w:rFonts w:ascii="Arial" w:hAnsi="Arial"/>
        <w:color w:val="606060" w:themeColor="accent3" w:themeTint="FE" w:themeShade="95"/>
        <w:sz w:val="22"/>
      </w:rPr>
      <w:tcPr>
        <w:shd w:val="clear" w:color="auto" w:fill="FFFFFF" w:themeFill="accent3" w:themeFillTint="34"/>
      </w:tcPr>
    </w:tblStylePr>
    <w:tblStylePr w:type="band1Vert">
      <w:tcPr>
        <w:shd w:val="clear" w:color="auto" w:fill="FFFFFF" w:themeFill="accent3" w:themeFillTint="34"/>
      </w:tcPr>
    </w:tblStylePr>
    <w:tblStylePr w:type="band2Horz">
      <w:rPr>
        <w:rFonts w:ascii="Arial" w:hAnsi="Arial"/>
        <w:color w:val="606060" w:themeColor="accent3" w:themeTint="FE" w:themeShade="95"/>
        <w:sz w:val="22"/>
      </w:rPr>
    </w:tblStylePr>
    <w:tblStylePr w:type="firstCol">
      <w:rPr>
        <w:rFonts w:ascii="Arial" w:hAnsi="Arial"/>
        <w:i/>
        <w:color w:val="606060" w:themeColor="accent3" w:themeTint="FE" w:themeShade="95"/>
        <w:sz w:val="22"/>
      </w:rPr>
      <w:pPr>
        <w:jc w:val="right"/>
      </w:pPr>
      <w:tcPr>
        <w:shd w:color="auto" w:fill="FFFFFF"/>
        <w:tcBorders>
          <w:left w:val="none"/>
          <w:top w:val="none"/>
          <w:right w:val="single" w:color="000000" w:sz="4" w:space="0" w:themeColor="accent3" w:themeTint="FE"/>
          <w:bottom w:val="none"/>
        </w:tcBorders>
      </w:tcPr>
    </w:tblStylePr>
    <w:tblStylePr w:type="firstRow">
      <w:rPr>
        <w:rFonts w:ascii="Arial" w:hAnsi="Arial"/>
        <w:b/>
        <w:color w:val="606060" w:themeColor="accent3" w:themeTint="FE" w:themeShade="95"/>
        <w:sz w:val="22"/>
      </w:rPr>
      <w:tcPr>
        <w:shd w:val="clear" w:color="auto" w:fill="FFFFFF" w:themeFill="light1"/>
        <w:tcBorders>
          <w:left w:val="none"/>
          <w:top w:val="none"/>
          <w:right w:val="none"/>
          <w:bottom w:val="single" w:color="000000" w:sz="4" w:space="0" w:themeColor="accent3" w:themeTint="FE"/>
        </w:tcBorders>
      </w:tcPr>
    </w:tblStylePr>
    <w:tblStylePr w:type="lastCol">
      <w:rPr>
        <w:rFonts w:ascii="Arial" w:hAnsi="Arial"/>
        <w:i/>
        <w:color w:val="606060" w:themeColor="accent3" w:themeTint="FE" w:themeShade="95"/>
        <w:sz w:val="22"/>
      </w:rPr>
      <w:tcPr>
        <w:shd w:color="auto" w:fill="FFFFFF"/>
        <w:tcBorders>
          <w:left w:val="single" w:color="000000" w:sz="4" w:space="0" w:themeColor="accent3" w:themeTint="FE"/>
          <w:top w:val="none"/>
          <w:right w:val="none"/>
          <w:bottom w:val="none"/>
        </w:tcBorders>
      </w:tcPr>
    </w:tblStylePr>
    <w:tblStylePr w:type="lastRow">
      <w:rPr>
        <w:rFonts w:ascii="Arial" w:hAnsi="Arial"/>
        <w:b/>
        <w:color w:val="606060" w:themeColor="accent3" w:themeTint="FE" w:themeShade="95"/>
        <w:sz w:val="22"/>
      </w:rPr>
      <w:tcPr>
        <w:shd w:val="clear" w:color="auto" w:fill="FFFFFF" w:themeFill="light1"/>
        <w:tcBorders>
          <w:left w:val="none"/>
          <w:top w:val="single" w:color="000000" w:sz="4" w:space="0" w:themeColor="accent3" w:themeTint="FE"/>
          <w:right w:val="none"/>
          <w:bottom w:val="none"/>
        </w:tcBorders>
      </w:tcPr>
    </w:tblStylePr>
  </w:style>
  <w:style w:type="table" w:styleId="99">
    <w:name w:val="Grid Table 7 Colorful - Accent 4"/>
    <w:basedOn w:val="397"/>
    <w:uiPriority w:val="99"/>
    <w:pPr>
      <w:spacing w:lineRule="auto" w:line="240" w:after="0"/>
    </w:pPr>
    <w:tblPr>
      <w:tblStyleRowBandSize w:val="1"/>
      <w:tblStyleColBandSize w:val="1"/>
      <w:tblInd w:w="0" w:type="dxa"/>
      <w:tblBorders>
        <w:right w:val="single" w:color="000000" w:sz="4" w:space="0" w:themeColor="accent4" w:themeTint="9A"/>
        <w:bottom w:val="single" w:color="000000" w:sz="4" w:space="0" w:themeColor="accent4" w:themeTint="9A"/>
        <w:insideV w:val="single" w:color="000000" w:sz="4" w:space="0" w:themeColor="accent4" w:themeTint="9A"/>
        <w:insideH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34"/>
      </w:tcPr>
    </w:tblStylePr>
    <w:tblStylePr w:type="band1Vert">
      <w:tcPr>
        <w:shd w:val="clear" w:color="auto" w:fill="FFFFFF" w:themeFill="accent4" w:themeFillTint="34"/>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b/>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b/>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style>
  <w:style w:type="table" w:styleId="100">
    <w:name w:val="Grid Table 7 Colorful - Accent 5"/>
    <w:basedOn w:val="397"/>
    <w:uiPriority w:val="99"/>
    <w:pPr>
      <w:spacing w:lineRule="auto" w:line="240" w:after="0"/>
    </w:pPr>
    <w:tblPr>
      <w:tblStyleRowBandSize w:val="1"/>
      <w:tblStyleColBandSize w:val="1"/>
      <w:tblInd w:w="0" w:type="dxa"/>
      <w:tblBorders>
        <w:right w:val="single" w:color="000000" w:sz="4" w:space="0" w:themeColor="accent5" w:themeTint="90"/>
        <w:bottom w:val="single" w:color="000000" w:sz="4" w:space="0" w:themeColor="accent5" w:themeTint="90"/>
        <w:insideV w:val="single" w:color="000000" w:sz="4" w:space="0" w:themeColor="accent5" w:themeTint="90"/>
        <w:insideH w:val="single" w:color="000000" w:sz="4" w:space="0" w:themeColor="accent5" w:themeTint="90"/>
      </w:tblBorders>
    </w:tblPr>
    <w:tblStylePr w:type="band1Horz">
      <w:rPr>
        <w:rFonts w:ascii="Arial" w:hAnsi="Arial"/>
        <w:color w:val="254374" w:themeColor="accent5" w:themeShade="95"/>
        <w:sz w:val="22"/>
      </w:rPr>
      <w:tcPr>
        <w:shd w:val="clear" w:color="auto" w:fill="FFFFFF" w:themeFill="accent5" w:themeFillTint="34"/>
      </w:tcPr>
    </w:tblStylePr>
    <w:tblStylePr w:type="band1Vert">
      <w:tcPr>
        <w:shd w:val="clear" w:color="auto" w:fill="FFFFFF" w:themeFill="accent5" w:themeFillTint="34"/>
      </w:tcPr>
    </w:tblStylePr>
    <w:tblStylePr w:type="band2Horz">
      <w:rPr>
        <w:rFonts w:ascii="Arial" w:hAnsi="Arial"/>
        <w:color w:val="254374" w:themeColor="accent5" w:themeShade="95"/>
        <w:sz w:val="22"/>
      </w:rPr>
    </w:tblStylePr>
    <w:tblStylePr w:type="firstCol">
      <w:rPr>
        <w:rFonts w:ascii="Arial" w:hAnsi="Arial"/>
        <w:i/>
        <w:color w:val="254374" w:themeColor="accent5" w:themeShade="95"/>
        <w:sz w:val="22"/>
      </w:rPr>
      <w:pPr>
        <w:jc w:val="right"/>
      </w:pPr>
      <w:tcPr>
        <w:shd w:color="auto" w:fill="FFFFFF"/>
        <w:tcBorders>
          <w:left w:val="none"/>
          <w:top w:val="none"/>
          <w:right w:val="single" w:color="000000" w:sz="4" w:space="0" w:themeColor="accent5" w:themeTint="90"/>
          <w:bottom w:val="none"/>
        </w:tcBorders>
      </w:tcPr>
    </w:tblStylePr>
    <w:tblStylePr w:type="firstRow">
      <w:rPr>
        <w:rFonts w:ascii="Arial" w:hAnsi="Arial"/>
        <w:b/>
        <w:color w:val="254374" w:themeColor="accent5" w:themeShade="95"/>
        <w:sz w:val="22"/>
      </w:rPr>
      <w:tcPr>
        <w:shd w:val="clear" w:color="auto" w:fill="FFFFFF" w:themeFill="light1"/>
        <w:tcBorders>
          <w:left w:val="none"/>
          <w:top w:val="none"/>
          <w:right w:val="none"/>
          <w:bottom w:val="single" w:color="000000" w:sz="4" w:space="0" w:themeColor="accent5" w:themeTint="90"/>
        </w:tcBorders>
      </w:tcPr>
    </w:tblStylePr>
    <w:tblStylePr w:type="lastCol">
      <w:rPr>
        <w:rFonts w:ascii="Arial" w:hAnsi="Arial"/>
        <w:i/>
        <w:color w:val="254374" w:themeColor="accent5" w:themeShade="95"/>
        <w:sz w:val="22"/>
      </w:rPr>
      <w:tcPr>
        <w:shd w:color="auto" w:fill="FFFFFF"/>
        <w:tcBorders>
          <w:left w:val="single" w:color="000000" w:sz="4" w:space="0" w:themeColor="accent5" w:themeTint="90"/>
          <w:top w:val="none"/>
          <w:right w:val="none"/>
          <w:bottom w:val="none"/>
        </w:tcBorders>
      </w:tcPr>
    </w:tblStylePr>
    <w:tblStylePr w:type="lastRow">
      <w:rPr>
        <w:rFonts w:ascii="Arial" w:hAnsi="Arial"/>
        <w:b/>
        <w:color w:val="254374" w:themeColor="accent5" w:themeShade="95"/>
        <w:sz w:val="22"/>
      </w:rPr>
      <w:tcPr>
        <w:shd w:val="clear" w:color="auto" w:fill="FFFFFF" w:themeFill="light1"/>
        <w:tcBorders>
          <w:left w:val="none"/>
          <w:top w:val="single" w:color="000000" w:sz="4" w:space="0" w:themeColor="accent5" w:themeTint="90"/>
          <w:right w:val="none"/>
          <w:bottom w:val="none"/>
        </w:tcBorders>
      </w:tcPr>
    </w:tblStylePr>
  </w:style>
  <w:style w:type="table" w:styleId="101">
    <w:name w:val="Grid Table 7 Colorful - Accent 6"/>
    <w:basedOn w:val="397"/>
    <w:uiPriority w:val="99"/>
    <w:pPr>
      <w:spacing w:lineRule="auto" w:line="240" w:after="0"/>
    </w:pPr>
    <w:tblPr>
      <w:tblStyleRowBandSize w:val="1"/>
      <w:tblStyleColBandSize w:val="1"/>
      <w:tblInd w:w="0" w:type="dxa"/>
      <w:tblBorders>
        <w:right w:val="single" w:color="000000" w:sz="4" w:space="0" w:themeColor="accent6" w:themeTint="90"/>
        <w:bottom w:val="single" w:color="000000" w:sz="4" w:space="0" w:themeColor="accent6" w:themeTint="90"/>
        <w:insideV w:val="single" w:color="000000" w:sz="4" w:space="0" w:themeColor="accent6" w:themeTint="90"/>
        <w:insideH w:val="single" w:color="000000" w:sz="4" w:space="0" w:themeColor="accent6" w:themeTint="90"/>
      </w:tblBorders>
    </w:tblPr>
    <w:tblStylePr w:type="band1Horz">
      <w:rPr>
        <w:rFonts w:ascii="Arial" w:hAnsi="Arial"/>
        <w:color w:val="426429" w:themeColor="accent6" w:themeShade="95"/>
        <w:sz w:val="22"/>
      </w:rPr>
      <w:tcPr>
        <w:shd w:val="clear" w:color="auto" w:fill="FFFFFF" w:themeFill="accent6" w:themeFillTint="34"/>
      </w:tcPr>
    </w:tblStylePr>
    <w:tblStylePr w:type="band1Vert">
      <w:tcPr>
        <w:shd w:val="clear" w:color="auto" w:fill="FFFFFF" w:themeFill="accent6" w:themeFillTint="34"/>
      </w:tcPr>
    </w:tblStylePr>
    <w:tblStylePr w:type="band2Horz">
      <w:rPr>
        <w:rFonts w:ascii="Arial" w:hAnsi="Arial"/>
        <w:color w:val="426429" w:themeColor="accent6" w:themeShade="95"/>
        <w:sz w:val="22"/>
      </w:rPr>
    </w:tblStylePr>
    <w:tblStylePr w:type="firstCol">
      <w:rPr>
        <w:rFonts w:ascii="Arial" w:hAnsi="Arial"/>
        <w:i/>
        <w:color w:val="426429" w:themeColor="accent6" w:themeShade="95"/>
        <w:sz w:val="22"/>
      </w:rPr>
      <w:pPr>
        <w:jc w:val="right"/>
      </w:pPr>
      <w:tcPr>
        <w:shd w:color="auto" w:fill="FFFFFF"/>
        <w:tcBorders>
          <w:left w:val="none"/>
          <w:top w:val="none"/>
          <w:right w:val="single" w:color="000000" w:sz="4" w:space="0" w:themeColor="accent6" w:themeTint="90"/>
          <w:bottom w:val="none"/>
        </w:tcBorders>
      </w:tcPr>
    </w:tblStylePr>
    <w:tblStylePr w:type="firstRow">
      <w:rPr>
        <w:rFonts w:ascii="Arial" w:hAnsi="Arial"/>
        <w:b/>
        <w:color w:val="426429" w:themeColor="accent6" w:themeShade="95"/>
        <w:sz w:val="22"/>
      </w:rPr>
      <w:tcPr>
        <w:shd w:val="clear" w:color="auto" w:fill="FFFFFF" w:themeFill="light1"/>
        <w:tcBorders>
          <w:left w:val="none"/>
          <w:top w:val="none"/>
          <w:right w:val="none"/>
          <w:bottom w:val="single" w:color="000000" w:sz="4" w:space="0" w:themeColor="accent6" w:themeTint="90"/>
        </w:tcBorders>
      </w:tcPr>
    </w:tblStylePr>
    <w:tblStylePr w:type="lastCol">
      <w:rPr>
        <w:rFonts w:ascii="Arial" w:hAnsi="Arial"/>
        <w:i/>
        <w:color w:val="426429" w:themeColor="accent6" w:themeShade="95"/>
        <w:sz w:val="22"/>
      </w:rPr>
      <w:tcPr>
        <w:shd w:color="auto" w:fill="FFFFFF"/>
        <w:tcBorders>
          <w:left w:val="single" w:color="000000" w:sz="4" w:space="0" w:themeColor="accent6" w:themeTint="90"/>
          <w:top w:val="none"/>
          <w:right w:val="none"/>
          <w:bottom w:val="none"/>
        </w:tcBorders>
      </w:tcPr>
    </w:tblStylePr>
    <w:tblStylePr w:type="lastRow">
      <w:rPr>
        <w:rFonts w:ascii="Arial" w:hAnsi="Arial"/>
        <w:b/>
        <w:color w:val="426429" w:themeColor="accent6" w:themeShade="95"/>
        <w:sz w:val="22"/>
      </w:rPr>
      <w:tcPr>
        <w:shd w:val="clear" w:color="auto" w:fill="FFFFFF" w:themeFill="light1"/>
        <w:tcBorders>
          <w:left w:val="none"/>
          <w:top w:val="single" w:color="000000" w:sz="4" w:space="0" w:themeColor="accent6" w:themeTint="90"/>
          <w:right w:val="none"/>
          <w:bottom w:val="none"/>
        </w:tcBorders>
      </w:tcPr>
    </w:tblStylePr>
  </w:style>
  <w:style w:type="table" w:styleId="102">
    <w:name w:val="List Table 1 Light"/>
    <w:basedOn w:val="397"/>
    <w:uiPriority w:val="99"/>
    <w:pPr>
      <w:spacing w:lineRule="auto" w:line="240" w:after="0"/>
    </w:pPr>
    <w:tblPr>
      <w:tblStyleRowBandSize w:val="1"/>
      <w:tblStyleColBandSize w:val="1"/>
      <w:tblInd w:w="0" w:type="dxa"/>
    </w:tblPr>
    <w:tblStylePr w:type="band1Horz">
      <w:tcPr>
        <w:shd w:val="clear" w:color="auto" w:fill="FFFFFF" w:themeFill="text1" w:themeFillTint="40"/>
      </w:tcPr>
    </w:tblStylePr>
    <w:tblStylePr w:type="band1Vert">
      <w:tcPr>
        <w:shd w:val="clear" w:color="auto" w:fill="FFFFFF" w:themeFill="tex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text1"/>
        </w:tcBorders>
      </w:tcPr>
    </w:tblStylePr>
    <w:tblStylePr w:type="lastCol">
      <w:rPr>
        <w:b/>
        <w:color w:val="404040"/>
      </w:rPr>
    </w:tblStylePr>
    <w:tblStylePr w:type="lastRow">
      <w:rPr>
        <w:b/>
        <w:color w:val="404040"/>
      </w:rPr>
      <w:tcPr>
        <w:tcBorders>
          <w:left w:val="none" w:color="000000" w:sz="4" w:space="0"/>
          <w:top w:val="single" w:color="000000" w:sz="4" w:space="0" w:themeColor="text1"/>
          <w:right w:val="none" w:color="000000" w:sz="4" w:space="0"/>
          <w:bottom w:val="none" w:color="000000" w:sz="4" w:space="0"/>
        </w:tcBorders>
      </w:tcPr>
    </w:tblStylePr>
  </w:style>
  <w:style w:type="table" w:styleId="103">
    <w:name w:val="List Table 1 Light - Accent 1"/>
    <w:basedOn w:val="397"/>
    <w:uiPriority w:val="99"/>
    <w:pPr>
      <w:spacing w:lineRule="auto" w:line="240" w:after="0"/>
    </w:pPr>
    <w:tblPr>
      <w:tblStyleRowBandSize w:val="1"/>
      <w:tblStyleColBandSize w:val="1"/>
      <w:tblInd w:w="0" w:type="dxa"/>
    </w:tblPr>
    <w:tblStylePr w:type="band1Horz">
      <w:tcPr>
        <w:shd w:val="clear" w:color="auto" w:fill="FFFFFF" w:themeFill="accent1" w:themeFillTint="40"/>
      </w:tcPr>
    </w:tblStylePr>
    <w:tblStylePr w:type="band1Vert">
      <w:tcPr>
        <w:shd w:val="clear" w:color="auto" w:fill="FFFFFF" w:themeFill="accent1"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1"/>
        </w:tcBorders>
      </w:tcPr>
    </w:tblStylePr>
    <w:tblStylePr w:type="lastCol">
      <w:rPr>
        <w:b/>
        <w:color w:val="404040"/>
      </w:rPr>
    </w:tblStylePr>
    <w:tblStylePr w:type="lastRow">
      <w:rPr>
        <w:b/>
        <w:color w:val="404040"/>
      </w:rPr>
      <w:tcPr>
        <w:tcBorders>
          <w:left w:val="none" w:color="000000" w:sz="4" w:space="0"/>
          <w:top w:val="single" w:color="000000" w:sz="4" w:space="0" w:themeColor="accent1"/>
          <w:right w:val="none" w:color="000000" w:sz="4" w:space="0"/>
          <w:bottom w:val="none" w:color="000000" w:sz="4" w:space="0"/>
        </w:tcBorders>
      </w:tcPr>
    </w:tblStylePr>
  </w:style>
  <w:style w:type="table" w:styleId="104">
    <w:name w:val="List Table 1 Light - Accent 2"/>
    <w:basedOn w:val="397"/>
    <w:uiPriority w:val="99"/>
    <w:pPr>
      <w:spacing w:lineRule="auto" w:line="240" w:after="0"/>
    </w:pPr>
    <w:tblPr>
      <w:tblStyleRowBandSize w:val="1"/>
      <w:tblStyleColBandSize w:val="1"/>
      <w:tblInd w:w="0" w:type="dxa"/>
    </w:tblPr>
    <w:tblStylePr w:type="band1Horz">
      <w:tcPr>
        <w:shd w:val="clear" w:color="auto" w:fill="FFFFFF" w:themeFill="accent2" w:themeFillTint="40"/>
      </w:tcPr>
    </w:tblStylePr>
    <w:tblStylePr w:type="band1Vert">
      <w:tcPr>
        <w:shd w:val="clear" w:color="auto" w:fill="FFFFFF" w:themeFill="accent2"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2"/>
        </w:tcBorders>
      </w:tcPr>
    </w:tblStylePr>
    <w:tblStylePr w:type="lastCol">
      <w:rPr>
        <w:b/>
        <w:color w:val="404040"/>
      </w:rPr>
    </w:tblStylePr>
    <w:tblStylePr w:type="lastRow">
      <w:rPr>
        <w:b/>
        <w:color w:val="404040"/>
      </w:rPr>
      <w:tcPr>
        <w:tcBorders>
          <w:left w:val="none" w:color="000000" w:sz="4" w:space="0"/>
          <w:top w:val="single" w:color="000000" w:sz="4" w:space="0" w:themeColor="accent2"/>
          <w:right w:val="none" w:color="000000" w:sz="4" w:space="0"/>
          <w:bottom w:val="none" w:color="000000" w:sz="4" w:space="0"/>
        </w:tcBorders>
      </w:tcPr>
    </w:tblStylePr>
  </w:style>
  <w:style w:type="table" w:styleId="105">
    <w:name w:val="List Table 1 Light - Accent 3"/>
    <w:basedOn w:val="397"/>
    <w:uiPriority w:val="99"/>
    <w:pPr>
      <w:spacing w:lineRule="auto" w:line="240" w:after="0"/>
    </w:pPr>
    <w:tblPr>
      <w:tblStyleRowBandSize w:val="1"/>
      <w:tblStyleColBandSize w:val="1"/>
      <w:tblInd w:w="0" w:type="dxa"/>
    </w:tblPr>
    <w:tblStylePr w:type="band1Horz">
      <w:tcPr>
        <w:shd w:val="clear" w:color="auto" w:fill="FFFFFF" w:themeFill="accent3" w:themeFillTint="40"/>
      </w:tcPr>
    </w:tblStylePr>
    <w:tblStylePr w:type="band1Vert">
      <w:tcPr>
        <w:shd w:val="clear" w:color="auto" w:fill="FFFFFF" w:themeFill="accent3"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3"/>
        </w:tcBorders>
      </w:tcPr>
    </w:tblStylePr>
    <w:tblStylePr w:type="lastCol">
      <w:rPr>
        <w:b/>
        <w:color w:val="404040"/>
      </w:rPr>
    </w:tblStylePr>
    <w:tblStylePr w:type="lastRow">
      <w:rPr>
        <w:b/>
        <w:color w:val="404040"/>
      </w:rPr>
      <w:tcPr>
        <w:tcBorders>
          <w:left w:val="none" w:color="000000" w:sz="4" w:space="0"/>
          <w:top w:val="single" w:color="000000" w:sz="4" w:space="0" w:themeColor="accent3"/>
          <w:right w:val="none" w:color="000000" w:sz="4" w:space="0"/>
          <w:bottom w:val="none" w:color="000000" w:sz="4" w:space="0"/>
        </w:tcBorders>
      </w:tcPr>
    </w:tblStylePr>
  </w:style>
  <w:style w:type="table" w:styleId="106">
    <w:name w:val="List Table 1 Light - Accent 4"/>
    <w:basedOn w:val="397"/>
    <w:uiPriority w:val="99"/>
    <w:pPr>
      <w:spacing w:lineRule="auto" w:line="240" w:after="0"/>
    </w:pPr>
    <w:tblPr>
      <w:tblStyleRowBandSize w:val="1"/>
      <w:tblStyleColBandSize w:val="1"/>
      <w:tblInd w:w="0" w:type="dxa"/>
    </w:tblPr>
    <w:tblStylePr w:type="band1Horz">
      <w:tcPr>
        <w:shd w:val="clear" w:color="auto" w:fill="FFFFFF" w:themeFill="accent4" w:themeFillTint="40"/>
      </w:tcPr>
    </w:tblStylePr>
    <w:tblStylePr w:type="band1Vert">
      <w:tcPr>
        <w:shd w:val="clear" w:color="auto" w:fill="FFFFFF" w:themeFill="accent4"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4"/>
        </w:tcBorders>
      </w:tcPr>
    </w:tblStylePr>
    <w:tblStylePr w:type="lastCol">
      <w:rPr>
        <w:b/>
        <w:color w:val="404040"/>
      </w:rPr>
    </w:tblStylePr>
    <w:tblStylePr w:type="lastRow">
      <w:rPr>
        <w:b/>
        <w:color w:val="404040"/>
      </w:rPr>
      <w:tcPr>
        <w:tcBorders>
          <w:left w:val="none" w:color="000000" w:sz="4" w:space="0"/>
          <w:top w:val="single" w:color="000000" w:sz="4" w:space="0" w:themeColor="accent4"/>
          <w:right w:val="none" w:color="000000" w:sz="4" w:space="0"/>
          <w:bottom w:val="none" w:color="000000" w:sz="4" w:space="0"/>
        </w:tcBorders>
      </w:tcPr>
    </w:tblStylePr>
  </w:style>
  <w:style w:type="table" w:styleId="107">
    <w:name w:val="List Table 1 Light - Accent 5"/>
    <w:basedOn w:val="397"/>
    <w:uiPriority w:val="99"/>
    <w:pPr>
      <w:spacing w:lineRule="auto" w:line="240" w:after="0"/>
    </w:pPr>
    <w:tblPr>
      <w:tblStyleRowBandSize w:val="1"/>
      <w:tblStyleColBandSize w:val="1"/>
      <w:tblInd w:w="0" w:type="dxa"/>
    </w:tblPr>
    <w:tblStylePr w:type="band1Horz">
      <w:tcPr>
        <w:shd w:val="clear" w:color="auto" w:fill="FFFFFF" w:themeFill="accent5" w:themeFillTint="40"/>
      </w:tcPr>
    </w:tblStylePr>
    <w:tblStylePr w:type="band1Vert">
      <w:tcPr>
        <w:shd w:val="clear" w:color="auto" w:fill="FFFFFF" w:themeFill="accent5"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5"/>
        </w:tcBorders>
      </w:tcPr>
    </w:tblStylePr>
    <w:tblStylePr w:type="lastCol">
      <w:rPr>
        <w:b/>
        <w:color w:val="404040"/>
      </w:rPr>
    </w:tblStylePr>
    <w:tblStylePr w:type="lastRow">
      <w:rPr>
        <w:b/>
        <w:color w:val="404040"/>
      </w:rPr>
      <w:tcPr>
        <w:tcBorders>
          <w:left w:val="none" w:color="000000" w:sz="4" w:space="0"/>
          <w:top w:val="single" w:color="000000" w:sz="4" w:space="0" w:themeColor="accent5"/>
          <w:right w:val="none" w:color="000000" w:sz="4" w:space="0"/>
          <w:bottom w:val="none" w:color="000000" w:sz="4" w:space="0"/>
        </w:tcBorders>
      </w:tcPr>
    </w:tblStylePr>
  </w:style>
  <w:style w:type="table" w:styleId="108">
    <w:name w:val="List Table 1 Light - Accent 6"/>
    <w:basedOn w:val="397"/>
    <w:uiPriority w:val="99"/>
    <w:pPr>
      <w:spacing w:lineRule="auto" w:line="240" w:after="0"/>
    </w:pPr>
    <w:tblPr>
      <w:tblStyleRowBandSize w:val="1"/>
      <w:tblStyleColBandSize w:val="1"/>
      <w:tblInd w:w="0" w:type="dxa"/>
    </w:tblPr>
    <w:tblStylePr w:type="band1Horz">
      <w:tcPr>
        <w:shd w:val="clear" w:color="auto" w:fill="FFFFFF" w:themeFill="accent6" w:themeFillTint="40"/>
      </w:tcPr>
    </w:tblStylePr>
    <w:tblStylePr w:type="band1Vert">
      <w:tcPr>
        <w:shd w:val="clear" w:color="auto" w:fill="FFFFFF" w:themeFill="accent6" w:themeFillTint="40"/>
      </w:tcPr>
    </w:tblStylePr>
    <w:tblStylePr w:type="firstCol">
      <w:rPr>
        <w:b/>
        <w:color w:val="404040"/>
      </w:rPr>
    </w:tblStylePr>
    <w:tblStylePr w:type="firstRow">
      <w:rPr>
        <w:b/>
        <w:color w:val="404040"/>
      </w:rPr>
      <w:tcPr>
        <w:tcBorders>
          <w:left w:val="none" w:color="000000" w:sz="4" w:space="0"/>
          <w:top w:val="none" w:color="000000" w:sz="4" w:space="0"/>
          <w:right w:val="none" w:color="000000" w:sz="4" w:space="0"/>
          <w:bottom w:val="single" w:color="000000" w:sz="4" w:space="0" w:themeColor="accent6"/>
        </w:tcBorders>
      </w:tcPr>
    </w:tblStylePr>
    <w:tblStylePr w:type="lastCol">
      <w:rPr>
        <w:b/>
        <w:color w:val="404040"/>
      </w:rPr>
    </w:tblStylePr>
    <w:tblStylePr w:type="lastRow">
      <w:rPr>
        <w:b/>
        <w:color w:val="404040"/>
      </w:rPr>
      <w:tcPr>
        <w:tcBorders>
          <w:left w:val="none" w:color="000000" w:sz="4" w:space="0"/>
          <w:top w:val="single" w:color="000000" w:sz="4" w:space="0" w:themeColor="accent6"/>
          <w:right w:val="none" w:color="000000" w:sz="4" w:space="0"/>
          <w:bottom w:val="none" w:color="000000" w:sz="4" w:space="0"/>
        </w:tcBorders>
      </w:tcPr>
    </w:tblStylePr>
  </w:style>
  <w:style w:type="table" w:styleId="109">
    <w:name w:val="List Table 2"/>
    <w:basedOn w:val="397"/>
    <w:uiPriority w:val="99"/>
    <w:pPr>
      <w:spacing w:lineRule="auto" w:line="240" w:after="0"/>
    </w:pPr>
    <w:tblPr>
      <w:tblStyleRowBandSize w:val="1"/>
      <w:tblStyleColBandSize w:val="1"/>
      <w:tblInd w:w="0" w:type="dxa"/>
      <w:tblBorders>
        <w:top w:val="single" w:color="000000" w:sz="4" w:space="0" w:themeColor="text1" w:themeTint="90"/>
        <w:bottom w:val="single" w:color="000000" w:sz="4" w:space="0" w:themeColor="text1" w:themeTint="90"/>
        <w:insideH w:val="single" w:color="000000" w:sz="4" w:space="0" w:themeColor="text1" w:themeTint="90"/>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text1" w:themeTint="90"/>
          <w:right w:val="none" w:color="000000" w:sz="4" w:space="0"/>
          <w:bottom w:val="single" w:color="000000" w:sz="4" w:space="0" w:themeColor="text1" w:themeTint="90"/>
        </w:tcBorders>
      </w:tcPr>
    </w:tblStylePr>
  </w:style>
  <w:style w:type="table" w:styleId="110">
    <w:name w:val="List Table 2 - Accent 1"/>
    <w:basedOn w:val="397"/>
    <w:uiPriority w:val="99"/>
    <w:pPr>
      <w:spacing w:lineRule="auto" w:line="240" w:after="0"/>
    </w:pPr>
    <w:tblPr>
      <w:tblStyleRowBandSize w:val="1"/>
      <w:tblStyleColBandSize w:val="1"/>
      <w:tblInd w:w="0" w:type="dxa"/>
      <w:tblBorders>
        <w:top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1" w:themeTint="90"/>
          <w:right w:val="none" w:color="000000" w:sz="4" w:space="0"/>
          <w:bottom w:val="single" w:color="000000" w:sz="4" w:space="0" w:themeColor="accent1" w:themeTint="90"/>
        </w:tcBorders>
      </w:tcPr>
    </w:tblStylePr>
  </w:style>
  <w:style w:type="table" w:styleId="111">
    <w:name w:val="List Table 2 - Accent 2"/>
    <w:basedOn w:val="397"/>
    <w:uiPriority w:val="99"/>
    <w:pPr>
      <w:spacing w:lineRule="auto" w:line="240" w:after="0"/>
    </w:pPr>
    <w:tblPr>
      <w:tblStyleRowBandSize w:val="1"/>
      <w:tblStyleColBandSize w:val="1"/>
      <w:tblInd w:w="0" w:type="dxa"/>
      <w:tblBorders>
        <w:top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2" w:themeTint="90"/>
          <w:right w:val="none" w:color="000000" w:sz="4" w:space="0"/>
          <w:bottom w:val="single" w:color="000000" w:sz="4" w:space="0" w:themeColor="accent2" w:themeTint="90"/>
        </w:tcBorders>
      </w:tcPr>
    </w:tblStylePr>
  </w:style>
  <w:style w:type="table" w:styleId="112">
    <w:name w:val="List Table 2 - Accent 3"/>
    <w:basedOn w:val="397"/>
    <w:uiPriority w:val="99"/>
    <w:pPr>
      <w:spacing w:lineRule="auto" w:line="240" w:after="0"/>
    </w:pPr>
    <w:tblPr>
      <w:tblStyleRowBandSize w:val="1"/>
      <w:tblStyleColBandSize w:val="1"/>
      <w:tblInd w:w="0" w:type="dxa"/>
      <w:tblBorders>
        <w:top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3" w:themeTint="90"/>
          <w:right w:val="none" w:color="000000" w:sz="4" w:space="0"/>
          <w:bottom w:val="single" w:color="000000" w:sz="4" w:space="0" w:themeColor="accent3" w:themeTint="90"/>
        </w:tcBorders>
      </w:tcPr>
    </w:tblStylePr>
  </w:style>
  <w:style w:type="table" w:styleId="113">
    <w:name w:val="List Table 2 - Accent 4"/>
    <w:basedOn w:val="397"/>
    <w:uiPriority w:val="99"/>
    <w:pPr>
      <w:spacing w:lineRule="auto" w:line="240" w:after="0"/>
    </w:pPr>
    <w:tblPr>
      <w:tblStyleRowBandSize w:val="1"/>
      <w:tblStyleColBandSize w:val="1"/>
      <w:tblInd w:w="0" w:type="dxa"/>
      <w:tblBorders>
        <w:top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4" w:themeTint="90"/>
          <w:right w:val="none" w:color="000000" w:sz="4" w:space="0"/>
          <w:bottom w:val="single" w:color="000000" w:sz="4" w:space="0" w:themeColor="accent4" w:themeTint="90"/>
        </w:tcBorders>
      </w:tcPr>
    </w:tblStylePr>
  </w:style>
  <w:style w:type="table" w:styleId="114">
    <w:name w:val="List Table 2 - Accent 5"/>
    <w:basedOn w:val="397"/>
    <w:uiPriority w:val="99"/>
    <w:pPr>
      <w:spacing w:lineRule="auto" w:line="240" w:after="0"/>
    </w:pPr>
    <w:tblPr>
      <w:tblStyleRowBandSize w:val="1"/>
      <w:tblStyleColBandSize w:val="1"/>
      <w:tblInd w:w="0" w:type="dxa"/>
      <w:tblBorders>
        <w:top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5" w:themeTint="90"/>
          <w:right w:val="none" w:color="000000" w:sz="4" w:space="0"/>
          <w:bottom w:val="single" w:color="000000" w:sz="4" w:space="0" w:themeColor="accent5" w:themeTint="90"/>
        </w:tcBorders>
      </w:tcPr>
    </w:tblStylePr>
  </w:style>
  <w:style w:type="table" w:styleId="115">
    <w:name w:val="List Table 2 - Accent 6"/>
    <w:basedOn w:val="397"/>
    <w:uiPriority w:val="99"/>
    <w:pPr>
      <w:spacing w:lineRule="auto" w:line="240" w:after="0"/>
    </w:pPr>
    <w:tblPr>
      <w:tblStyleRowBandSize w:val="1"/>
      <w:tblStyleColBandSize w:val="1"/>
      <w:tblInd w:w="0" w:type="dxa"/>
      <w:tblBorders>
        <w:top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rFonts w:ascii="Arial" w:hAnsi="Arial"/>
        <w:b/>
        <w:color w:val="404040"/>
        <w:sz w:val="22"/>
      </w:rPr>
    </w:tblStylePr>
    <w:tblStylePr w:type="fir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tblStylePr w:type="lastCol">
      <w:rPr>
        <w:rFonts w:ascii="Arial" w:hAnsi="Arial"/>
        <w:b/>
        <w:color w:val="404040"/>
        <w:sz w:val="22"/>
      </w:rPr>
    </w:tblStylePr>
    <w:tblStylePr w:type="lastRow">
      <w:rPr>
        <w:rFonts w:ascii="Arial" w:hAnsi="Arial"/>
        <w:b/>
        <w:color w:val="404040"/>
        <w:sz w:val="22"/>
      </w:rPr>
      <w:tcPr>
        <w:tcBorders>
          <w:left w:val="none" w:color="000000" w:sz="4" w:space="0"/>
          <w:top w:val="single" w:color="000000" w:sz="4" w:space="0" w:themeColor="accent6" w:themeTint="90"/>
          <w:right w:val="none" w:color="000000" w:sz="4" w:space="0"/>
          <w:bottom w:val="single" w:color="000000" w:sz="4" w:space="0" w:themeColor="accent6" w:themeTint="90"/>
        </w:tcBorders>
      </w:tcPr>
    </w:tblStylePr>
  </w:style>
  <w:style w:type="table" w:styleId="116">
    <w:name w:val="List Table 3"/>
    <w:basedOn w:val="39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tblBorders>
    </w:tblPr>
    <w:tblStylePr w:type="band1Horz">
      <w:rPr>
        <w:rFonts w:ascii="Arial" w:hAnsi="Arial"/>
        <w:color w:val="404040"/>
        <w:sz w:val="22"/>
      </w:rPr>
      <w:tcPr>
        <w:tcBorders>
          <w:top w:val="single" w:color="000000" w:sz="4" w:space="0" w:themeColor="text1"/>
          <w:bottom w:val="single" w:color="000000" w:sz="4" w:space="0" w:themeColor="text1"/>
        </w:tcBorders>
      </w:tcPr>
    </w:tblStylePr>
    <w:tblStylePr w:type="band1Vert">
      <w:rPr>
        <w:rFonts w:ascii="Arial" w:hAnsi="Arial"/>
        <w:color w:val="404040"/>
        <w:sz w:val="22"/>
      </w:rPr>
      <w:tcPr>
        <w:tcBorders>
          <w:left w:val="single" w:color="000000" w:sz="4" w:space="0" w:themeColor="text1"/>
          <w:right w:val="single" w:color="000000" w:sz="4" w:space="0" w:themeColor="text1"/>
        </w:tcBorders>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17">
    <w:name w:val="List Table 3 - Accent 1"/>
    <w:basedOn w:val="397"/>
    <w:uiPriority w:val="99"/>
    <w:pPr>
      <w:spacing w:lineRule="auto" w:line="240" w:after="0"/>
    </w:pPr>
    <w:tblPr>
      <w:tblStyleRowBandSize w:val="1"/>
      <w:tblStyleColBandSize w:val="1"/>
      <w:tblInd w:w="0" w:type="dxa"/>
      <w:tblBorders>
        <w:left w:val="single" w:color="000000" w:sz="4" w:space="0" w:themeColor="accent1"/>
        <w:top w:val="single" w:color="000000" w:sz="4" w:space="0" w:themeColor="accent1"/>
        <w:right w:val="single" w:color="000000" w:sz="4" w:space="0" w:themeColor="accent1"/>
        <w:bottom w:val="single" w:color="000000" w:sz="4" w:space="0" w:themeColor="accent1"/>
      </w:tblBorders>
    </w:tblPr>
    <w:tblStylePr w:type="band1Horz">
      <w:rPr>
        <w:rFonts w:ascii="Arial" w:hAnsi="Arial"/>
        <w:color w:val="404040"/>
        <w:sz w:val="22"/>
      </w:rPr>
      <w:tcPr>
        <w:tcBorders>
          <w:top w:val="single" w:color="000000" w:sz="4" w:space="0" w:themeColor="accent1"/>
          <w:bottom w:val="single" w:color="000000" w:sz="4" w:space="0" w:themeColor="accent1"/>
        </w:tcBorders>
      </w:tcPr>
    </w:tblStylePr>
    <w:tblStylePr w:type="band1Vert">
      <w:rPr>
        <w:rFonts w:ascii="Arial" w:hAnsi="Arial"/>
        <w:color w:val="404040"/>
        <w:sz w:val="22"/>
      </w:rPr>
      <w:tcPr>
        <w:tcBorders>
          <w:left w:val="single" w:color="000000" w:sz="4" w:space="0" w:themeColor="accent1"/>
          <w:right w:val="single" w:color="000000" w:sz="4" w:space="0" w:themeColor="accent1"/>
        </w:tcBorders>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18">
    <w:name w:val="List Table 3 - Accent 2"/>
    <w:basedOn w:val="397"/>
    <w:uiPriority w:val="99"/>
    <w:pPr>
      <w:spacing w:lineRule="auto" w:line="240" w:after="0"/>
    </w:pPr>
    <w:tblPr>
      <w:tblStyleRowBandSize w:val="1"/>
      <w:tblStyleColBandSize w:val="1"/>
      <w:tblInd w:w="0" w:type="dxa"/>
      <w:tblBorders>
        <w:left w:val="single" w:color="000000" w:sz="4" w:space="0" w:themeColor="accent2" w:themeTint="97"/>
        <w:top w:val="single" w:color="000000" w:sz="4" w:space="0" w:themeColor="accent2" w:themeTint="97"/>
        <w:right w:val="single" w:color="000000" w:sz="4" w:space="0" w:themeColor="accent2" w:themeTint="97"/>
        <w:bottom w:val="single" w:color="000000" w:sz="4" w:space="0" w:themeColor="accent2" w:themeTint="97"/>
      </w:tblBorders>
    </w:tblPr>
    <w:tblStylePr w:type="band1Horz">
      <w:rPr>
        <w:rFonts w:ascii="Arial" w:hAnsi="Arial"/>
        <w:color w:val="404040"/>
        <w:sz w:val="22"/>
      </w:rPr>
      <w:tcPr>
        <w:tcBorders>
          <w:top w:val="single" w:color="000000" w:sz="4" w:space="0" w:themeColor="accent2" w:themeTint="97"/>
          <w:bottom w:val="single" w:color="000000" w:sz="4" w:space="0" w:themeColor="accent2" w:themeTint="97"/>
        </w:tcBorders>
      </w:tcPr>
    </w:tblStylePr>
    <w:tblStylePr w:type="band1Vert">
      <w:rPr>
        <w:rFonts w:ascii="Arial" w:hAnsi="Arial"/>
        <w:color w:val="404040"/>
        <w:sz w:val="22"/>
      </w:rPr>
      <w:tcPr>
        <w:tcBorders>
          <w:left w:val="single" w:color="000000" w:sz="4" w:space="0" w:themeColor="accent2" w:themeTint="97"/>
          <w:right w:val="single" w:color="000000" w:sz="4" w:space="0" w:themeColor="accent2" w:themeTint="97"/>
        </w:tcBorders>
      </w:tcPr>
    </w:tblStylePr>
    <w:tblStylePr w:type="firstCol">
      <w:rPr>
        <w:b/>
        <w:color w:val="404040"/>
      </w:rPr>
    </w:tblStylePr>
    <w:tblStylePr w:type="firstRow">
      <w:rPr>
        <w:rFonts w:ascii="Arial" w:hAnsi="Arial"/>
        <w:b/>
        <w:color w:val="FFFFFF"/>
        <w:sz w:val="22"/>
      </w:rPr>
      <w:tcPr>
        <w:shd w:val="clear" w:color="auto" w:fill="FFFFFF" w:themeFill="accent2" w:themeFillTint="97"/>
      </w:tcPr>
    </w:tblStylePr>
    <w:tblStylePr w:type="lastCol">
      <w:rPr>
        <w:b/>
        <w:color w:val="404040"/>
      </w:rPr>
    </w:tblStylePr>
    <w:tblStylePr w:type="lastRow">
      <w:rPr>
        <w:b/>
        <w:color w:val="404040"/>
      </w:rPr>
    </w:tblStylePr>
  </w:style>
  <w:style w:type="table" w:styleId="119">
    <w:name w:val="List Table 3 - Accent 3"/>
    <w:basedOn w:val="397"/>
    <w:uiPriority w:val="99"/>
    <w:pPr>
      <w:spacing w:lineRule="auto" w:line="240" w:after="0"/>
    </w:pPr>
    <w:tblPr>
      <w:tblStyleRowBandSize w:val="1"/>
      <w:tblStyleColBandSize w:val="1"/>
      <w:tblInd w:w="0" w:type="dxa"/>
      <w:tblBorders>
        <w:left w:val="single" w:color="000000" w:sz="4" w:space="0" w:themeColor="accent3" w:themeTint="98"/>
        <w:top w:val="single" w:color="000000" w:sz="4" w:space="0" w:themeColor="accent3" w:themeTint="98"/>
        <w:right w:val="single" w:color="000000" w:sz="4" w:space="0" w:themeColor="accent3" w:themeTint="98"/>
        <w:bottom w:val="single" w:color="000000" w:sz="4" w:space="0" w:themeColor="accent3" w:themeTint="98"/>
      </w:tblBorders>
    </w:tblPr>
    <w:tblStylePr w:type="band1Horz">
      <w:rPr>
        <w:rFonts w:ascii="Arial" w:hAnsi="Arial"/>
        <w:color w:val="404040"/>
        <w:sz w:val="22"/>
      </w:rPr>
      <w:tcPr>
        <w:tcBorders>
          <w:top w:val="single" w:color="000000" w:sz="4" w:space="0" w:themeColor="accent3" w:themeTint="98"/>
          <w:bottom w:val="single" w:color="000000" w:sz="4" w:space="0" w:themeColor="accent3" w:themeTint="98"/>
        </w:tcBorders>
      </w:tcPr>
    </w:tblStylePr>
    <w:tblStylePr w:type="band1Vert">
      <w:rPr>
        <w:rFonts w:ascii="Arial" w:hAnsi="Arial"/>
        <w:color w:val="404040"/>
        <w:sz w:val="22"/>
      </w:rPr>
      <w:tcPr>
        <w:tcBorders>
          <w:left w:val="single" w:color="000000" w:sz="4" w:space="0" w:themeColor="accent3" w:themeTint="98"/>
          <w:right w:val="single" w:color="000000" w:sz="4" w:space="0" w:themeColor="accent3" w:themeTint="98"/>
        </w:tcBorders>
      </w:tcPr>
    </w:tblStylePr>
    <w:tblStylePr w:type="firstCol">
      <w:rPr>
        <w:b/>
        <w:color w:val="404040"/>
      </w:rPr>
    </w:tblStylePr>
    <w:tblStylePr w:type="firstRow">
      <w:rPr>
        <w:rFonts w:ascii="Arial" w:hAnsi="Arial"/>
        <w:b/>
        <w:color w:val="FFFFFF"/>
        <w:sz w:val="22"/>
      </w:rPr>
      <w:tcPr>
        <w:shd w:val="clear" w:color="auto" w:fill="FFFFFF" w:themeFill="accent3" w:themeFillTint="98"/>
      </w:tcPr>
    </w:tblStylePr>
    <w:tblStylePr w:type="lastCol">
      <w:rPr>
        <w:b/>
        <w:color w:val="404040"/>
      </w:rPr>
    </w:tblStylePr>
    <w:tblStylePr w:type="lastRow">
      <w:rPr>
        <w:b/>
        <w:color w:val="404040"/>
      </w:rPr>
    </w:tblStylePr>
  </w:style>
  <w:style w:type="table" w:styleId="120">
    <w:name w:val="List Table 3 - Accent 4"/>
    <w:basedOn w:val="397"/>
    <w:uiPriority w:val="99"/>
    <w:pPr>
      <w:spacing w:lineRule="auto" w:line="240" w:after="0"/>
    </w:pPr>
    <w:tblPr>
      <w:tblStyleRowBandSize w:val="1"/>
      <w:tblStyleColBandSize w:val="1"/>
      <w:tblInd w:w="0" w:type="dxa"/>
      <w:tblBorders>
        <w:left w:val="single" w:color="000000" w:sz="4" w:space="0" w:themeColor="accent4" w:themeTint="9A"/>
        <w:top w:val="single" w:color="000000" w:sz="4" w:space="0" w:themeColor="accent4" w:themeTint="9A"/>
        <w:right w:val="single" w:color="000000" w:sz="4" w:space="0" w:themeColor="accent4" w:themeTint="9A"/>
        <w:bottom w:val="single" w:color="000000" w:sz="4" w:space="0" w:themeColor="accent4" w:themeTint="9A"/>
      </w:tblBorders>
    </w:tblPr>
    <w:tblStylePr w:type="band1Horz">
      <w:rPr>
        <w:rFonts w:ascii="Arial" w:hAnsi="Arial"/>
        <w:color w:val="404040"/>
        <w:sz w:val="22"/>
      </w:rPr>
      <w:tcPr>
        <w:tcBorders>
          <w:top w:val="single" w:color="000000" w:sz="4" w:space="0" w:themeColor="accent4" w:themeTint="9A"/>
          <w:bottom w:val="single" w:color="000000" w:sz="4" w:space="0" w:themeColor="accent4" w:themeTint="9A"/>
        </w:tcBorders>
      </w:tcPr>
    </w:tblStylePr>
    <w:tblStylePr w:type="band1Vert">
      <w:rPr>
        <w:rFonts w:ascii="Arial" w:hAnsi="Arial"/>
        <w:color w:val="404040"/>
        <w:sz w:val="22"/>
      </w:rPr>
      <w:tcPr>
        <w:tcBorders>
          <w:left w:val="single" w:color="000000" w:sz="4" w:space="0" w:themeColor="accent4" w:themeTint="9A"/>
          <w:right w:val="single" w:color="000000" w:sz="4" w:space="0" w:themeColor="accent4" w:themeTint="9A"/>
        </w:tcBorders>
      </w:tcPr>
    </w:tblStylePr>
    <w:tblStylePr w:type="firstCol">
      <w:rPr>
        <w:b/>
        <w:color w:val="404040"/>
      </w:rPr>
    </w:tblStylePr>
    <w:tblStylePr w:type="firstRow">
      <w:rPr>
        <w:rFonts w:ascii="Arial" w:hAnsi="Arial"/>
        <w:b/>
        <w:color w:val="FFFFFF"/>
        <w:sz w:val="22"/>
      </w:rPr>
      <w:tcPr>
        <w:shd w:val="clear" w:color="auto" w:fill="FFFFFF" w:themeFill="accent4" w:themeFillTint="9A"/>
      </w:tcPr>
    </w:tblStylePr>
    <w:tblStylePr w:type="lastCol">
      <w:rPr>
        <w:b/>
        <w:color w:val="404040"/>
      </w:rPr>
    </w:tblStylePr>
    <w:tblStylePr w:type="lastRow">
      <w:rPr>
        <w:b/>
        <w:color w:val="404040"/>
      </w:rPr>
    </w:tblStylePr>
  </w:style>
  <w:style w:type="table" w:styleId="121">
    <w:name w:val="List Table 3 - Accent 5"/>
    <w:basedOn w:val="397"/>
    <w:uiPriority w:val="99"/>
    <w:pPr>
      <w:spacing w:lineRule="auto" w:line="240" w:after="0"/>
    </w:pPr>
    <w:tblPr>
      <w:tblStyleRowBandSize w:val="1"/>
      <w:tblStyleColBandSize w:val="1"/>
      <w:tblInd w:w="0" w:type="dxa"/>
      <w:tblBorders>
        <w:left w:val="single" w:color="000000" w:sz="4" w:space="0" w:themeColor="accent5" w:themeTint="9A"/>
        <w:top w:val="single" w:color="000000" w:sz="4" w:space="0" w:themeColor="accent5" w:themeTint="9A"/>
        <w:right w:val="single" w:color="000000" w:sz="4" w:space="0" w:themeColor="accent5" w:themeTint="9A"/>
        <w:bottom w:val="single" w:color="000000" w:sz="4" w:space="0" w:themeColor="accent5" w:themeTint="9A"/>
      </w:tblBorders>
    </w:tblPr>
    <w:tblStylePr w:type="band1Horz">
      <w:rPr>
        <w:rFonts w:ascii="Arial" w:hAnsi="Arial"/>
        <w:color w:val="404040"/>
        <w:sz w:val="22"/>
      </w:rPr>
      <w:tcPr>
        <w:tcBorders>
          <w:top w:val="single" w:color="000000" w:sz="4" w:space="0" w:themeColor="accent5" w:themeTint="9A"/>
          <w:bottom w:val="single" w:color="000000" w:sz="4" w:space="0" w:themeColor="accent5" w:themeTint="9A"/>
        </w:tcBorders>
      </w:tcPr>
    </w:tblStylePr>
    <w:tblStylePr w:type="band1Vert">
      <w:rPr>
        <w:rFonts w:ascii="Arial" w:hAnsi="Arial"/>
        <w:color w:val="404040"/>
        <w:sz w:val="22"/>
      </w:rPr>
      <w:tcPr>
        <w:tcBorders>
          <w:left w:val="single" w:color="000000" w:sz="4" w:space="0" w:themeColor="accent5" w:themeTint="9A"/>
          <w:right w:val="single" w:color="000000" w:sz="4" w:space="0" w:themeColor="accent5" w:themeTint="9A"/>
        </w:tcBorders>
      </w:tcPr>
    </w:tblStylePr>
    <w:tblStylePr w:type="firstCol">
      <w:rPr>
        <w:b/>
        <w:color w:val="404040"/>
      </w:rPr>
    </w:tblStylePr>
    <w:tblStylePr w:type="firstRow">
      <w:rPr>
        <w:rFonts w:ascii="Arial" w:hAnsi="Arial"/>
        <w:b/>
        <w:color w:val="FFFFFF"/>
        <w:sz w:val="22"/>
      </w:rPr>
      <w:tcPr>
        <w:shd w:val="clear" w:color="auto" w:fill="FFFFFF" w:themeFill="accent5" w:themeFillTint="9A"/>
      </w:tcPr>
    </w:tblStylePr>
    <w:tblStylePr w:type="lastCol">
      <w:rPr>
        <w:b/>
        <w:color w:val="404040"/>
      </w:rPr>
    </w:tblStylePr>
    <w:tblStylePr w:type="lastRow">
      <w:rPr>
        <w:b/>
        <w:color w:val="404040"/>
      </w:rPr>
    </w:tblStylePr>
  </w:style>
  <w:style w:type="table" w:styleId="122">
    <w:name w:val="List Table 3 - Accent 6"/>
    <w:basedOn w:val="397"/>
    <w:uiPriority w:val="99"/>
    <w:pPr>
      <w:spacing w:lineRule="auto" w:line="240" w:after="0"/>
    </w:pPr>
    <w:tblPr>
      <w:tblStyleRowBandSize w:val="1"/>
      <w:tblStyleColBandSize w:val="1"/>
      <w:tblInd w:w="0" w:type="dxa"/>
      <w:tblBorders>
        <w:left w:val="single" w:color="000000" w:sz="4" w:space="0" w:themeColor="accent6" w:themeTint="98"/>
        <w:top w:val="single" w:color="000000" w:sz="4" w:space="0" w:themeColor="accent6" w:themeTint="98"/>
        <w:right w:val="single" w:color="000000" w:sz="4" w:space="0" w:themeColor="accent6" w:themeTint="98"/>
        <w:bottom w:val="single" w:color="000000" w:sz="4" w:space="0" w:themeColor="accent6" w:themeTint="98"/>
      </w:tblBorders>
    </w:tblPr>
    <w:tblStylePr w:type="band1Horz">
      <w:rPr>
        <w:rFonts w:ascii="Arial" w:hAnsi="Arial"/>
        <w:color w:val="404040"/>
        <w:sz w:val="22"/>
      </w:rPr>
      <w:tcPr>
        <w:tcBorders>
          <w:top w:val="single" w:color="000000" w:sz="4" w:space="0" w:themeColor="accent6" w:themeTint="98"/>
          <w:bottom w:val="single" w:color="000000" w:sz="4" w:space="0" w:themeColor="accent6" w:themeTint="98"/>
        </w:tcBorders>
      </w:tcPr>
    </w:tblStylePr>
    <w:tblStylePr w:type="band1Vert">
      <w:rPr>
        <w:rFonts w:ascii="Arial" w:hAnsi="Arial"/>
        <w:color w:val="404040"/>
        <w:sz w:val="22"/>
      </w:rPr>
      <w:tcPr>
        <w:tcBorders>
          <w:left w:val="single" w:color="000000" w:sz="4" w:space="0" w:themeColor="accent6" w:themeTint="98"/>
          <w:right w:val="single" w:color="000000" w:sz="4" w:space="0" w:themeColor="accent6" w:themeTint="98"/>
        </w:tcBorders>
      </w:tcPr>
    </w:tblStylePr>
    <w:tblStylePr w:type="firstCol">
      <w:rPr>
        <w:b/>
        <w:color w:val="404040"/>
      </w:rPr>
    </w:tblStylePr>
    <w:tblStylePr w:type="firstRow">
      <w:rPr>
        <w:rFonts w:ascii="Arial" w:hAnsi="Arial"/>
        <w:b/>
        <w:color w:val="FFFFFF"/>
        <w:sz w:val="22"/>
      </w:rPr>
      <w:tcPr>
        <w:shd w:val="clear" w:color="auto" w:fill="FFFFFF" w:themeFill="accent6" w:themeFillTint="98"/>
      </w:tcPr>
    </w:tblStylePr>
    <w:tblStylePr w:type="lastCol">
      <w:rPr>
        <w:b/>
        <w:color w:val="404040"/>
      </w:rPr>
    </w:tblStylePr>
    <w:tblStylePr w:type="lastRow">
      <w:rPr>
        <w:b/>
        <w:color w:val="404040"/>
      </w:rPr>
    </w:tblStylePr>
  </w:style>
  <w:style w:type="table" w:styleId="123">
    <w:name w:val="List Table 4"/>
    <w:basedOn w:val="397"/>
    <w:uiPriority w:val="99"/>
    <w:pPr>
      <w:spacing w:lineRule="auto" w:line="240" w:after="0"/>
    </w:pPr>
    <w:tblPr>
      <w:tblStyleRowBandSize w:val="1"/>
      <w:tblStyleColBandSize w:val="1"/>
      <w:tblInd w:w="0" w:type="dxa"/>
      <w:tblBorders>
        <w:left w:val="single" w:color="000000" w:sz="4" w:space="0" w:themeColor="text1"/>
        <w:top w:val="single" w:color="000000" w:sz="4" w:space="0" w:themeColor="text1"/>
        <w:right w:val="single" w:color="000000" w:sz="4" w:space="0" w:themeColor="text1"/>
        <w:bottom w:val="single" w:color="000000" w:sz="4" w:space="0" w:themeColor="text1"/>
        <w:insideH w:val="single" w:color="000000" w:sz="4" w:space="0" w:themeColor="text1"/>
      </w:tblBorders>
    </w:tblPr>
    <w:tblStylePr w:type="band1Horz">
      <w:rPr>
        <w:rFonts w:ascii="Arial" w:hAnsi="Arial"/>
        <w:color w:val="404040"/>
        <w:sz w:val="22"/>
      </w:rPr>
      <w:tcPr>
        <w:shd w:val="clear" w:color="auto" w:fill="FFFFFF" w:themeFill="text1" w:themeFillTint="40"/>
      </w:tcPr>
    </w:tblStylePr>
    <w:tblStylePr w:type="band1Vert">
      <w:rPr>
        <w:rFonts w:ascii="Arial" w:hAnsi="Arial"/>
        <w:color w:val="404040"/>
        <w:sz w:val="22"/>
      </w:rPr>
      <w:tcPr>
        <w:shd w:val="clear" w:color="auto" w:fill="FFFFFF" w:themeFill="text1" w:themeFillTint="40"/>
      </w:tcPr>
    </w:tblStylePr>
    <w:tblStylePr w:type="firstCol">
      <w:rPr>
        <w:b/>
        <w:color w:val="404040"/>
      </w:rPr>
    </w:tblStylePr>
    <w:tblStylePr w:type="firstRow">
      <w:rPr>
        <w:rFonts w:ascii="Arial" w:hAnsi="Arial"/>
        <w:b/>
        <w:color w:val="FFFFFF"/>
        <w:sz w:val="22"/>
      </w:rPr>
      <w:tcPr>
        <w:shd w:val="clear" w:color="auto" w:fill="FFFFFF" w:themeFill="text1"/>
      </w:tcPr>
    </w:tblStylePr>
    <w:tblStylePr w:type="lastCol">
      <w:rPr>
        <w:b/>
        <w:color w:val="404040"/>
      </w:rPr>
    </w:tblStylePr>
    <w:tblStylePr w:type="lastRow">
      <w:rPr>
        <w:b/>
        <w:color w:val="404040"/>
      </w:rPr>
    </w:tblStylePr>
  </w:style>
  <w:style w:type="table" w:styleId="124">
    <w:name w:val="List Table 4 - Accent 1"/>
    <w:basedOn w:val="397"/>
    <w:uiPriority w:val="99"/>
    <w:pPr>
      <w:spacing w:lineRule="auto" w:line="240" w:after="0"/>
    </w:pPr>
    <w:tblPr>
      <w:tblStyleRowBandSize w:val="1"/>
      <w:tblStyleColBandSize w:val="1"/>
      <w:tblInd w:w="0" w:type="dxa"/>
      <w:tblBorders>
        <w:left w:val="single" w:color="000000" w:sz="4" w:space="0" w:themeColor="accent1" w:themeTint="90"/>
        <w:top w:val="single" w:color="000000" w:sz="4" w:space="0" w:themeColor="accent1" w:themeTint="90"/>
        <w:right w:val="single" w:color="000000" w:sz="4" w:space="0" w:themeColor="accent1" w:themeTint="90"/>
        <w:bottom w:val="single" w:color="000000" w:sz="4" w:space="0" w:themeColor="accent1" w:themeTint="90"/>
        <w:insideH w:val="single" w:color="000000" w:sz="4" w:space="0" w:themeColor="accent1" w:themeTint="90"/>
      </w:tblBorders>
    </w:tblPr>
    <w:tblStylePr w:type="band1Horz">
      <w:rPr>
        <w:rFonts w:ascii="Arial" w:hAnsi="Arial"/>
        <w:color w:val="404040"/>
        <w:sz w:val="22"/>
      </w:rPr>
      <w:tcPr>
        <w:shd w:val="clear" w:color="auto" w:fill="FFFFFF" w:themeFill="accent1" w:themeFillTint="40"/>
      </w:tcPr>
    </w:tblStylePr>
    <w:tblStylePr w:type="band1Vert">
      <w:rPr>
        <w:rFonts w:ascii="Arial" w:hAnsi="Arial"/>
        <w:color w:val="404040"/>
        <w:sz w:val="22"/>
      </w:rPr>
      <w:tcPr>
        <w:shd w:val="clear" w:color="auto" w:fill="FFFFFF" w:themeFill="accent1" w:themeFillTint="40"/>
      </w:tcPr>
    </w:tblStylePr>
    <w:tblStylePr w:type="firstCol">
      <w:rPr>
        <w:b/>
        <w:color w:val="404040"/>
      </w:rPr>
    </w:tblStylePr>
    <w:tblStylePr w:type="firstRow">
      <w:rPr>
        <w:rFonts w:ascii="Arial" w:hAnsi="Arial"/>
        <w:b/>
        <w:color w:val="FFFFFF"/>
        <w:sz w:val="22"/>
      </w:rPr>
      <w:tcPr>
        <w:shd w:val="clear" w:color="auto" w:fill="FFFFFF" w:themeFill="accent1"/>
      </w:tcPr>
    </w:tblStylePr>
    <w:tblStylePr w:type="lastCol">
      <w:rPr>
        <w:b/>
        <w:color w:val="404040"/>
      </w:rPr>
    </w:tblStylePr>
    <w:tblStylePr w:type="lastRow">
      <w:rPr>
        <w:b/>
        <w:color w:val="404040"/>
      </w:rPr>
    </w:tblStylePr>
  </w:style>
  <w:style w:type="table" w:styleId="125">
    <w:name w:val="List Table 4 - Accent 2"/>
    <w:basedOn w:val="397"/>
    <w:uiPriority w:val="99"/>
    <w:pPr>
      <w:spacing w:lineRule="auto" w:line="240" w:after="0"/>
    </w:pPr>
    <w:tblPr>
      <w:tblStyleRowBandSize w:val="1"/>
      <w:tblStyleColBandSize w:val="1"/>
      <w:tblInd w:w="0" w:type="dxa"/>
      <w:tblBorders>
        <w:left w:val="single" w:color="000000" w:sz="4" w:space="0" w:themeColor="accent2" w:themeTint="90"/>
        <w:top w:val="single" w:color="000000" w:sz="4" w:space="0" w:themeColor="accent2" w:themeTint="90"/>
        <w:right w:val="single" w:color="000000" w:sz="4" w:space="0" w:themeColor="accent2" w:themeTint="90"/>
        <w:bottom w:val="single" w:color="000000" w:sz="4" w:space="0" w:themeColor="accent2" w:themeTint="90"/>
        <w:insideH w:val="single" w:color="000000" w:sz="4" w:space="0" w:themeColor="accent2" w:themeTint="90"/>
      </w:tblBorders>
    </w:tblPr>
    <w:tblStylePr w:type="band1Horz">
      <w:rPr>
        <w:rFonts w:ascii="Arial" w:hAnsi="Arial"/>
        <w:color w:val="404040"/>
        <w:sz w:val="22"/>
      </w:rPr>
      <w:tcPr>
        <w:shd w:val="clear" w:color="auto" w:fill="FFFFFF" w:themeFill="accent2" w:themeFillTint="40"/>
      </w:tcPr>
    </w:tblStylePr>
    <w:tblStylePr w:type="band1Vert">
      <w:rPr>
        <w:rFonts w:ascii="Arial" w:hAnsi="Arial"/>
        <w:color w:val="404040"/>
        <w:sz w:val="22"/>
      </w:rPr>
      <w:tcPr>
        <w:shd w:val="clear" w:color="auto" w:fill="FFFFFF" w:themeFill="accent2" w:themeFillTint="40"/>
      </w:tcPr>
    </w:tblStylePr>
    <w:tblStylePr w:type="firstCol">
      <w:rPr>
        <w:b/>
        <w:color w:val="404040"/>
      </w:rPr>
    </w:tblStylePr>
    <w:tblStylePr w:type="firstRow">
      <w:rPr>
        <w:rFonts w:ascii="Arial" w:hAnsi="Arial"/>
        <w:b/>
        <w:color w:val="FFFFFF"/>
        <w:sz w:val="22"/>
      </w:rPr>
      <w:tcPr>
        <w:shd w:val="clear" w:color="auto" w:fill="FFFFFF" w:themeFill="accent2"/>
      </w:tcPr>
    </w:tblStylePr>
    <w:tblStylePr w:type="lastCol">
      <w:rPr>
        <w:b/>
        <w:color w:val="404040"/>
      </w:rPr>
    </w:tblStylePr>
    <w:tblStylePr w:type="lastRow">
      <w:rPr>
        <w:b/>
        <w:color w:val="404040"/>
      </w:rPr>
    </w:tblStylePr>
  </w:style>
  <w:style w:type="table" w:styleId="126">
    <w:name w:val="List Table 4 - Accent 3"/>
    <w:basedOn w:val="397"/>
    <w:uiPriority w:val="99"/>
    <w:pPr>
      <w:spacing w:lineRule="auto" w:line="240" w:after="0"/>
    </w:pPr>
    <w:tblPr>
      <w:tblStyleRowBandSize w:val="1"/>
      <w:tblStyleColBandSize w:val="1"/>
      <w:tblInd w:w="0" w:type="dxa"/>
      <w:tblBorders>
        <w:left w:val="single" w:color="000000" w:sz="4" w:space="0" w:themeColor="accent3" w:themeTint="90"/>
        <w:top w:val="single" w:color="000000" w:sz="4" w:space="0" w:themeColor="accent3" w:themeTint="90"/>
        <w:right w:val="single" w:color="000000" w:sz="4" w:space="0" w:themeColor="accent3" w:themeTint="90"/>
        <w:bottom w:val="single" w:color="000000" w:sz="4" w:space="0" w:themeColor="accent3" w:themeTint="90"/>
        <w:insideH w:val="single" w:color="000000" w:sz="4" w:space="0" w:themeColor="accent3" w:themeTint="90"/>
      </w:tblBorders>
    </w:tblPr>
    <w:tblStylePr w:type="band1Horz">
      <w:rPr>
        <w:rFonts w:ascii="Arial" w:hAnsi="Arial"/>
        <w:color w:val="404040"/>
        <w:sz w:val="22"/>
      </w:rPr>
      <w:tcPr>
        <w:shd w:val="clear" w:color="auto" w:fill="FFFFFF" w:themeFill="accent3" w:themeFillTint="40"/>
      </w:tcPr>
    </w:tblStylePr>
    <w:tblStylePr w:type="band1Vert">
      <w:rPr>
        <w:rFonts w:ascii="Arial" w:hAnsi="Arial"/>
        <w:color w:val="404040"/>
        <w:sz w:val="22"/>
      </w:rPr>
      <w:tcPr>
        <w:shd w:val="clear" w:color="auto" w:fill="FFFFFF" w:themeFill="accent3" w:themeFillTint="40"/>
      </w:tcPr>
    </w:tblStylePr>
    <w:tblStylePr w:type="firstCol">
      <w:rPr>
        <w:b/>
        <w:color w:val="404040"/>
      </w:rPr>
    </w:tblStylePr>
    <w:tblStylePr w:type="firstRow">
      <w:rPr>
        <w:rFonts w:ascii="Arial" w:hAnsi="Arial"/>
        <w:b/>
        <w:color w:val="FFFFFF"/>
        <w:sz w:val="22"/>
      </w:rPr>
      <w:tcPr>
        <w:shd w:val="clear" w:color="auto" w:fill="FFFFFF" w:themeFill="accent3"/>
      </w:tcPr>
    </w:tblStylePr>
    <w:tblStylePr w:type="lastCol">
      <w:rPr>
        <w:b/>
        <w:color w:val="404040"/>
      </w:rPr>
    </w:tblStylePr>
    <w:tblStylePr w:type="lastRow">
      <w:rPr>
        <w:b/>
        <w:color w:val="404040"/>
      </w:rPr>
    </w:tblStylePr>
  </w:style>
  <w:style w:type="table" w:styleId="127">
    <w:name w:val="List Table 4 - Accent 4"/>
    <w:basedOn w:val="397"/>
    <w:uiPriority w:val="99"/>
    <w:pPr>
      <w:spacing w:lineRule="auto" w:line="240" w:after="0"/>
    </w:pPr>
    <w:tblPr>
      <w:tblStyleRowBandSize w:val="1"/>
      <w:tblStyleColBandSize w:val="1"/>
      <w:tblInd w:w="0" w:type="dxa"/>
      <w:tblBorders>
        <w:left w:val="single" w:color="000000" w:sz="4" w:space="0" w:themeColor="accent4" w:themeTint="90"/>
        <w:top w:val="single" w:color="000000" w:sz="4" w:space="0" w:themeColor="accent4" w:themeTint="90"/>
        <w:right w:val="single" w:color="000000" w:sz="4" w:space="0" w:themeColor="accent4" w:themeTint="90"/>
        <w:bottom w:val="single" w:color="000000" w:sz="4" w:space="0" w:themeColor="accent4" w:themeTint="90"/>
        <w:insideH w:val="single" w:color="000000" w:sz="4" w:space="0" w:themeColor="accent4" w:themeTint="90"/>
      </w:tblBorders>
    </w:tblPr>
    <w:tblStylePr w:type="band1Horz">
      <w:rPr>
        <w:rFonts w:ascii="Arial" w:hAnsi="Arial"/>
        <w:color w:val="404040"/>
        <w:sz w:val="22"/>
      </w:rPr>
      <w:tcPr>
        <w:shd w:val="clear" w:color="auto" w:fill="FFFFFF" w:themeFill="accent4" w:themeFillTint="40"/>
      </w:tcPr>
    </w:tblStylePr>
    <w:tblStylePr w:type="band1Vert">
      <w:rPr>
        <w:rFonts w:ascii="Arial" w:hAnsi="Arial"/>
        <w:color w:val="404040"/>
        <w:sz w:val="22"/>
      </w:rPr>
      <w:tcPr>
        <w:shd w:val="clear" w:color="auto" w:fill="FFFFFF" w:themeFill="accent4" w:themeFillTint="40"/>
      </w:tcPr>
    </w:tblStylePr>
    <w:tblStylePr w:type="firstCol">
      <w:rPr>
        <w:b/>
        <w:color w:val="404040"/>
      </w:rPr>
    </w:tblStylePr>
    <w:tblStylePr w:type="firstRow">
      <w:rPr>
        <w:rFonts w:ascii="Arial" w:hAnsi="Arial"/>
        <w:b/>
        <w:color w:val="FFFFFF"/>
        <w:sz w:val="22"/>
      </w:rPr>
      <w:tcPr>
        <w:shd w:val="clear" w:color="auto" w:fill="FFFFFF" w:themeFill="accent4"/>
      </w:tcPr>
    </w:tblStylePr>
    <w:tblStylePr w:type="lastCol">
      <w:rPr>
        <w:b/>
        <w:color w:val="404040"/>
      </w:rPr>
    </w:tblStylePr>
    <w:tblStylePr w:type="lastRow">
      <w:rPr>
        <w:b/>
        <w:color w:val="404040"/>
      </w:rPr>
    </w:tblStylePr>
  </w:style>
  <w:style w:type="table" w:styleId="128">
    <w:name w:val="List Table 4 - Accent 5"/>
    <w:basedOn w:val="397"/>
    <w:uiPriority w:val="99"/>
    <w:pPr>
      <w:spacing w:lineRule="auto" w:line="240" w:after="0"/>
    </w:pPr>
    <w:tblPr>
      <w:tblStyleRowBandSize w:val="1"/>
      <w:tblStyleColBandSize w:val="1"/>
      <w:tblInd w:w="0" w:type="dxa"/>
      <w:tblBorders>
        <w:left w:val="single" w:color="000000" w:sz="4" w:space="0" w:themeColor="accent5" w:themeTint="90"/>
        <w:top w:val="single" w:color="000000" w:sz="4" w:space="0" w:themeColor="accent5" w:themeTint="90"/>
        <w:right w:val="single" w:color="000000" w:sz="4" w:space="0" w:themeColor="accent5" w:themeTint="90"/>
        <w:bottom w:val="single" w:color="000000" w:sz="4" w:space="0" w:themeColor="accent5" w:themeTint="90"/>
        <w:insideH w:val="single" w:color="000000" w:sz="4" w:space="0" w:themeColor="accent5" w:themeTint="90"/>
      </w:tblBorders>
    </w:tblPr>
    <w:tblStylePr w:type="band1Horz">
      <w:rPr>
        <w:rFonts w:ascii="Arial" w:hAnsi="Arial"/>
        <w:color w:val="404040"/>
        <w:sz w:val="22"/>
      </w:rPr>
      <w:tcPr>
        <w:shd w:val="clear" w:color="auto" w:fill="FFFFFF" w:themeFill="accent5" w:themeFillTint="40"/>
      </w:tcPr>
    </w:tblStylePr>
    <w:tblStylePr w:type="band1Vert">
      <w:rPr>
        <w:rFonts w:ascii="Arial" w:hAnsi="Arial"/>
        <w:color w:val="404040"/>
        <w:sz w:val="22"/>
      </w:rPr>
      <w:tcPr>
        <w:shd w:val="clear" w:color="auto" w:fill="FFFFFF" w:themeFill="accent5" w:themeFillTint="40"/>
      </w:tcPr>
    </w:tblStylePr>
    <w:tblStylePr w:type="firstCol">
      <w:rPr>
        <w:b/>
        <w:color w:val="404040"/>
      </w:rPr>
    </w:tblStylePr>
    <w:tblStylePr w:type="firstRow">
      <w:rPr>
        <w:rFonts w:ascii="Arial" w:hAnsi="Arial"/>
        <w:b/>
        <w:color w:val="FFFFFF"/>
        <w:sz w:val="22"/>
      </w:rPr>
      <w:tcPr>
        <w:shd w:val="clear" w:color="auto" w:fill="FFFFFF" w:themeFill="accent5"/>
      </w:tcPr>
    </w:tblStylePr>
    <w:tblStylePr w:type="lastCol">
      <w:rPr>
        <w:b/>
        <w:color w:val="404040"/>
      </w:rPr>
    </w:tblStylePr>
    <w:tblStylePr w:type="lastRow">
      <w:rPr>
        <w:b/>
        <w:color w:val="404040"/>
      </w:rPr>
    </w:tblStylePr>
  </w:style>
  <w:style w:type="table" w:styleId="129">
    <w:name w:val="List Table 4 - Accent 6"/>
    <w:basedOn w:val="397"/>
    <w:uiPriority w:val="99"/>
    <w:pPr>
      <w:spacing w:lineRule="auto" w:line="240" w:after="0"/>
    </w:pPr>
    <w:tblPr>
      <w:tblStyleRowBandSize w:val="1"/>
      <w:tblStyleColBandSize w:val="1"/>
      <w:tblInd w:w="0" w:type="dxa"/>
      <w:tblBorders>
        <w:left w:val="single" w:color="000000" w:sz="4" w:space="0" w:themeColor="accent6" w:themeTint="90"/>
        <w:top w:val="single" w:color="000000" w:sz="4" w:space="0" w:themeColor="accent6" w:themeTint="90"/>
        <w:right w:val="single" w:color="000000" w:sz="4" w:space="0" w:themeColor="accent6" w:themeTint="90"/>
        <w:bottom w:val="single" w:color="000000" w:sz="4" w:space="0" w:themeColor="accent6" w:themeTint="90"/>
        <w:insideH w:val="single" w:color="000000" w:sz="4" w:space="0" w:themeColor="accent6" w:themeTint="90"/>
      </w:tblBorders>
    </w:tblPr>
    <w:tblStylePr w:type="band1Horz">
      <w:rPr>
        <w:rFonts w:ascii="Arial" w:hAnsi="Arial"/>
        <w:color w:val="404040"/>
        <w:sz w:val="22"/>
      </w:rPr>
      <w:tcPr>
        <w:shd w:val="clear" w:color="auto" w:fill="FFFFFF" w:themeFill="accent6" w:themeFillTint="40"/>
      </w:tcPr>
    </w:tblStylePr>
    <w:tblStylePr w:type="band1Vert">
      <w:rPr>
        <w:rFonts w:ascii="Arial" w:hAnsi="Arial"/>
        <w:color w:val="404040"/>
        <w:sz w:val="22"/>
      </w:rPr>
      <w:tcPr>
        <w:shd w:val="clear" w:color="auto" w:fill="FFFFFF" w:themeFill="accent6" w:themeFillTint="40"/>
      </w:tcPr>
    </w:tblStylePr>
    <w:tblStylePr w:type="firstCol">
      <w:rPr>
        <w:b/>
        <w:color w:val="404040"/>
      </w:rPr>
    </w:tblStylePr>
    <w:tblStylePr w:type="firstRow">
      <w:rPr>
        <w:rFonts w:ascii="Arial" w:hAnsi="Arial"/>
        <w:b/>
        <w:color w:val="FFFFFF"/>
        <w:sz w:val="22"/>
      </w:rPr>
      <w:tcPr>
        <w:shd w:val="clear" w:color="auto" w:fill="FFFFFF" w:themeFill="accent6"/>
      </w:tcPr>
    </w:tblStylePr>
    <w:tblStylePr w:type="lastCol">
      <w:rPr>
        <w:b/>
        <w:color w:val="404040"/>
      </w:rPr>
    </w:tblStylePr>
    <w:tblStylePr w:type="lastRow">
      <w:rPr>
        <w:b/>
        <w:color w:val="404040"/>
      </w:rPr>
    </w:tblStylePr>
  </w:style>
  <w:style w:type="table" w:styleId="130">
    <w:name w:val="List Table 5 Dark"/>
    <w:basedOn w:val="397"/>
    <w:uiPriority w:val="99"/>
    <w:pPr>
      <w:spacing w:lineRule="auto" w:line="240" w:after="0"/>
    </w:pPr>
    <w:tblPr>
      <w:tblStyleRowBandSize w:val="1"/>
      <w:tblStyleColBandSize w:val="1"/>
      <w:tblInd w:w="0" w:type="dxa"/>
      <w:tblBorders>
        <w:left w:val="single" w:color="000000" w:sz="32" w:space="0" w:themeColor="text1" w:themeTint="80"/>
        <w:top w:val="single" w:color="000000" w:sz="32" w:space="0" w:themeColor="text1" w:themeTint="80"/>
        <w:right w:val="single" w:color="000000" w:sz="32" w:space="0" w:themeColor="text1" w:themeTint="80"/>
        <w:bottom w:val="single" w:color="000000" w:sz="32" w:space="0" w:themeColor="text1" w:themeTint="80"/>
      </w:tblBorders>
      <w:shd w:val="clear" w:color="auto" w:fill="FFFFFF" w:themeFill="text1" w:themeFillTint="80"/>
    </w:tblPr>
    <w:tblStylePr w:type="band1Horz">
      <w:tcPr>
        <w:shd w:val="clear" w:color="auto" w:fill="FFFFFF" w:themeFill="text1" w:themeFillTint="80"/>
        <w:tcBorders>
          <w:top w:val="single" w:color="000000" w:sz="4" w:space="0" w:themeColor="light1"/>
          <w:bottom w:val="single" w:color="000000" w:sz="4" w:space="0" w:themeColor="light1"/>
        </w:tcBorders>
      </w:tcPr>
    </w:tblStylePr>
    <w:tblStylePr w:type="band1Vert">
      <w:tcPr>
        <w:shd w:val="clear" w:color="auto" w:fill="FFFFFF" w:themeFill="text1" w:themeFillTint="80"/>
        <w:tcBorders>
          <w:left w:val="single" w:color="000000" w:sz="4" w:space="0" w:themeColor="light1"/>
          <w:right w:val="single" w:color="000000" w:sz="4" w:space="0" w:themeColor="light1"/>
        </w:tcBorders>
      </w:tcPr>
    </w:tblStylePr>
    <w:tblStylePr w:type="band2Horz">
      <w:tcPr>
        <w:shd w:val="clear" w:color="auto" w:fill="FFFFFF" w:themeFill="text1" w:themeFillTint="80"/>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text1" w:themeTint="80"/>
          <w:right w:val="single" w:color="000000" w:sz="4" w:space="0" w:themeColor="light1"/>
        </w:tcBorders>
      </w:tcPr>
    </w:tblStylePr>
    <w:tblStylePr w:type="firstRow">
      <w:rPr>
        <w:rFonts w:ascii="Arial" w:hAnsi="Arial"/>
        <w:b/>
        <w:color w:val="FFFFFF" w:themeColor="light1"/>
        <w:sz w:val="22"/>
      </w:rPr>
      <w:tcPr>
        <w:shd w:val="clear" w:color="auto" w:fill="FFFFFF" w:themeFill="text1" w:themeFillTint="80"/>
        <w:tcBorders>
          <w:top w:val="single" w:color="000000" w:sz="32" w:space="0" w:themeColor="text1" w:themeTint="80"/>
          <w:bottom w:val="single" w:color="000000" w:sz="12" w:space="0" w:themeColor="light1"/>
        </w:tcBorders>
      </w:tcPr>
    </w:tblStylePr>
    <w:tblStylePr w:type="lastCol">
      <w:tcPr>
        <w:tcBorders>
          <w:left w:val="single" w:color="000000" w:sz="4" w:space="0" w:themeColor="light1"/>
          <w:right w:val="single" w:color="000000" w:sz="32" w:space="0" w:themeColor="text1" w:themeTint="80"/>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1">
    <w:name w:val="List Table 5 Dark - Accent 1"/>
    <w:basedOn w:val="397"/>
    <w:uiPriority w:val="99"/>
    <w:pPr>
      <w:spacing w:lineRule="auto" w:line="240" w:after="0"/>
    </w:pPr>
    <w:tblPr>
      <w:tblStyleRowBandSize w:val="1"/>
      <w:tblStyleColBandSize w:val="1"/>
      <w:tblInd w:w="0" w:type="dxa"/>
      <w:tblBorders>
        <w:left w:val="single" w:color="000000" w:sz="32" w:space="0" w:themeColor="accent1"/>
        <w:top w:val="single" w:color="000000" w:sz="32" w:space="0" w:themeColor="accent1"/>
        <w:right w:val="single" w:color="000000" w:sz="32" w:space="0" w:themeColor="accent1"/>
        <w:bottom w:val="single" w:color="000000" w:sz="32" w:space="0" w:themeColor="accent1"/>
      </w:tblBorders>
      <w:shd w:val="clear" w:color="auto" w:fill="FFFFFF" w:themeFill="accent1"/>
    </w:tblPr>
    <w:tblStylePr w:type="band1Horz">
      <w:tcPr>
        <w:shd w:val="clear" w:color="auto" w:fill="FFFFFF" w:themeFill="accent1"/>
        <w:tcBorders>
          <w:top w:val="single" w:color="000000" w:sz="4" w:space="0" w:themeColor="light1"/>
          <w:bottom w:val="single" w:color="000000" w:sz="4" w:space="0" w:themeColor="light1"/>
        </w:tcBorders>
      </w:tcPr>
    </w:tblStylePr>
    <w:tblStylePr w:type="band1Vert">
      <w:tcPr>
        <w:shd w:val="clear" w:color="auto" w:fill="FFFFFF" w:themeFill="accent1"/>
        <w:tcBorders>
          <w:left w:val="single" w:color="000000" w:sz="4" w:space="0" w:themeColor="light1"/>
          <w:right w:val="single" w:color="000000" w:sz="4" w:space="0" w:themeColor="light1"/>
        </w:tcBorders>
      </w:tcPr>
    </w:tblStylePr>
    <w:tblStylePr w:type="band2Horz">
      <w:tcPr>
        <w:shd w:val="clear" w:color="auto" w:fill="FFFFFF" w:themeFill="accent1"/>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1"/>
          <w:right w:val="single" w:color="000000" w:sz="4" w:space="0" w:themeColor="light1"/>
        </w:tcBorders>
      </w:tcPr>
    </w:tblStylePr>
    <w:tblStylePr w:type="firstRow">
      <w:rPr>
        <w:rFonts w:ascii="Arial" w:hAnsi="Arial"/>
        <w:b/>
        <w:color w:val="FFFFFF" w:themeColor="light1"/>
        <w:sz w:val="22"/>
      </w:rPr>
      <w:tcPr>
        <w:shd w:val="clear" w:color="auto" w:fill="FFFFFF" w:themeFill="accent1"/>
        <w:tcBorders>
          <w:top w:val="single" w:color="000000" w:sz="32" w:space="0" w:themeColor="accent1"/>
          <w:bottom w:val="single" w:color="000000" w:sz="12" w:space="0" w:themeColor="light1"/>
        </w:tcBorders>
      </w:tcPr>
    </w:tblStylePr>
    <w:tblStylePr w:type="lastCol">
      <w:tcPr>
        <w:tcBorders>
          <w:left w:val="single" w:color="000000" w:sz="4" w:space="0" w:themeColor="light1"/>
          <w:right w:val="single" w:color="000000" w:sz="32" w:space="0" w:themeColor="accent1"/>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2">
    <w:name w:val="List Table 5 Dark - Accent 2"/>
    <w:basedOn w:val="397"/>
    <w:uiPriority w:val="99"/>
    <w:pPr>
      <w:spacing w:lineRule="auto" w:line="240" w:after="0"/>
    </w:pPr>
    <w:tblPr>
      <w:tblStyleRowBandSize w:val="1"/>
      <w:tblStyleColBandSize w:val="1"/>
      <w:tblInd w:w="0" w:type="dxa"/>
      <w:tblBorders>
        <w:left w:val="single" w:color="000000" w:sz="32" w:space="0" w:themeColor="accent2" w:themeTint="97"/>
        <w:top w:val="single" w:color="000000" w:sz="32" w:space="0" w:themeColor="accent2" w:themeTint="97"/>
        <w:right w:val="single" w:color="000000" w:sz="32" w:space="0" w:themeColor="accent2" w:themeTint="97"/>
        <w:bottom w:val="single" w:color="000000" w:sz="32" w:space="0" w:themeColor="accent2" w:themeTint="97"/>
      </w:tblBorders>
      <w:shd w:val="clear" w:color="auto" w:fill="FFFFFF" w:themeFill="accent2" w:themeFillTint="97"/>
    </w:tblPr>
    <w:tblStylePr w:type="band1Horz">
      <w:tcPr>
        <w:shd w:val="clear" w:color="auto" w:fill="FFFFFF" w:themeFill="accent2" w:themeFillTint="97"/>
        <w:tcBorders>
          <w:top w:val="single" w:color="000000" w:sz="4" w:space="0" w:themeColor="light1"/>
          <w:bottom w:val="single" w:color="000000" w:sz="4" w:space="0" w:themeColor="light1"/>
        </w:tcBorders>
      </w:tcPr>
    </w:tblStylePr>
    <w:tblStylePr w:type="band1Vert">
      <w:tcPr>
        <w:shd w:val="clear" w:color="auto" w:fill="FFFFFF" w:themeFill="accent2" w:themeFillTint="97"/>
        <w:tcBorders>
          <w:left w:val="single" w:color="000000" w:sz="4" w:space="0" w:themeColor="light1"/>
          <w:right w:val="single" w:color="000000" w:sz="4" w:space="0" w:themeColor="light1"/>
        </w:tcBorders>
      </w:tcPr>
    </w:tblStylePr>
    <w:tblStylePr w:type="band2Horz">
      <w:tcPr>
        <w:shd w:val="clear" w:color="auto" w:fill="FFFFFF" w:themeFill="accent2" w:themeFillTint="97"/>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2" w:themeTint="97"/>
          <w:right w:val="single" w:color="000000" w:sz="4" w:space="0" w:themeColor="light1"/>
        </w:tcBorders>
      </w:tcPr>
    </w:tblStylePr>
    <w:tblStylePr w:type="firstRow">
      <w:rPr>
        <w:rFonts w:ascii="Arial" w:hAnsi="Arial"/>
        <w:b/>
        <w:color w:val="FFFFFF" w:themeColor="light1"/>
        <w:sz w:val="22"/>
      </w:rPr>
      <w:tcPr>
        <w:shd w:val="clear" w:color="auto" w:fill="FFFFFF" w:themeFill="accent2" w:themeFillTint="97"/>
        <w:tcBorders>
          <w:top w:val="single" w:color="000000" w:sz="32" w:space="0" w:themeColor="accent2" w:themeTint="97"/>
          <w:bottom w:val="single" w:color="000000" w:sz="12" w:space="0" w:themeColor="light1"/>
        </w:tcBorders>
      </w:tcPr>
    </w:tblStylePr>
    <w:tblStylePr w:type="lastCol">
      <w:tcPr>
        <w:tcBorders>
          <w:left w:val="single" w:color="000000" w:sz="4" w:space="0" w:themeColor="light1"/>
          <w:right w:val="single" w:color="000000" w:sz="32" w:space="0" w:themeColor="accent2" w:themeTint="97"/>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3">
    <w:name w:val="List Table 5 Dark - Accent 3"/>
    <w:basedOn w:val="397"/>
    <w:uiPriority w:val="99"/>
    <w:pPr>
      <w:spacing w:lineRule="auto" w:line="240" w:after="0"/>
    </w:pPr>
    <w:tblPr>
      <w:tblStyleRowBandSize w:val="1"/>
      <w:tblStyleColBandSize w:val="1"/>
      <w:tblInd w:w="0" w:type="dxa"/>
      <w:tblBorders>
        <w:left w:val="single" w:color="000000" w:sz="32" w:space="0" w:themeColor="accent3" w:themeTint="98"/>
        <w:top w:val="single" w:color="000000" w:sz="32" w:space="0" w:themeColor="accent3" w:themeTint="98"/>
        <w:right w:val="single" w:color="000000" w:sz="32" w:space="0" w:themeColor="accent3" w:themeTint="98"/>
        <w:bottom w:val="single" w:color="000000" w:sz="32" w:space="0" w:themeColor="accent3" w:themeTint="98"/>
      </w:tblBorders>
      <w:shd w:val="clear" w:color="auto" w:fill="FFFFFF" w:themeFill="accent3" w:themeFillTint="98"/>
    </w:tblPr>
    <w:tblStylePr w:type="band1Horz">
      <w:tcPr>
        <w:shd w:val="clear" w:color="auto" w:fill="FFFFFF" w:themeFill="accent3" w:themeFillTint="98"/>
        <w:tcBorders>
          <w:top w:val="single" w:color="000000" w:sz="4" w:space="0" w:themeColor="light1"/>
          <w:bottom w:val="single" w:color="000000" w:sz="4" w:space="0" w:themeColor="light1"/>
        </w:tcBorders>
      </w:tcPr>
    </w:tblStylePr>
    <w:tblStylePr w:type="band1Vert">
      <w:tcPr>
        <w:shd w:val="clear" w:color="auto" w:fill="FFFFFF" w:themeFill="accent3" w:themeFillTint="98"/>
        <w:tcBorders>
          <w:left w:val="single" w:color="000000" w:sz="4" w:space="0" w:themeColor="light1"/>
          <w:right w:val="single" w:color="000000" w:sz="4" w:space="0" w:themeColor="light1"/>
        </w:tcBorders>
      </w:tcPr>
    </w:tblStylePr>
    <w:tblStylePr w:type="band2Horz">
      <w:tcPr>
        <w:shd w:val="clear" w:color="auto" w:fill="FFFFFF" w:themeFill="accent3"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3"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3" w:themeFillTint="98"/>
        <w:tcBorders>
          <w:top w:val="single" w:color="000000" w:sz="32" w:space="0" w:themeColor="accent3" w:themeTint="98"/>
          <w:bottom w:val="single" w:color="000000" w:sz="12" w:space="0" w:themeColor="light1"/>
        </w:tcBorders>
      </w:tcPr>
    </w:tblStylePr>
    <w:tblStylePr w:type="lastCol">
      <w:tcPr>
        <w:tcBorders>
          <w:left w:val="single" w:color="000000" w:sz="4" w:space="0" w:themeColor="light1"/>
          <w:right w:val="single" w:color="000000" w:sz="32" w:space="0" w:themeColor="accent3"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4">
    <w:name w:val="List Table 5 Dark - Accent 4"/>
    <w:basedOn w:val="397"/>
    <w:uiPriority w:val="99"/>
    <w:pPr>
      <w:spacing w:lineRule="auto" w:line="240" w:after="0"/>
    </w:pPr>
    <w:tblPr>
      <w:tblStyleRowBandSize w:val="1"/>
      <w:tblStyleColBandSize w:val="1"/>
      <w:tblInd w:w="0" w:type="dxa"/>
      <w:tblBorders>
        <w:left w:val="single" w:color="000000" w:sz="32" w:space="0" w:themeColor="accent4" w:themeTint="9A"/>
        <w:top w:val="single" w:color="000000" w:sz="32" w:space="0" w:themeColor="accent4" w:themeTint="9A"/>
        <w:right w:val="single" w:color="000000" w:sz="32" w:space="0" w:themeColor="accent4" w:themeTint="9A"/>
        <w:bottom w:val="single" w:color="000000" w:sz="32" w:space="0" w:themeColor="accent4" w:themeTint="9A"/>
      </w:tblBorders>
      <w:shd w:val="clear" w:color="auto" w:fill="FFFFFF" w:themeFill="accent4" w:themeFillTint="9A"/>
    </w:tblPr>
    <w:tblStylePr w:type="band1Horz">
      <w:tcPr>
        <w:shd w:val="clear" w:color="auto" w:fill="FFFFFF" w:themeFill="accent4" w:themeFillTint="9A"/>
        <w:tcBorders>
          <w:top w:val="single" w:color="000000" w:sz="4" w:space="0" w:themeColor="light1"/>
          <w:bottom w:val="single" w:color="000000" w:sz="4" w:space="0" w:themeColor="light1"/>
        </w:tcBorders>
      </w:tcPr>
    </w:tblStylePr>
    <w:tblStylePr w:type="band1Vert">
      <w:tcPr>
        <w:shd w:val="clear" w:color="auto" w:fill="FFFFFF" w:themeFill="accent4" w:themeFillTint="9A"/>
        <w:tcBorders>
          <w:left w:val="single" w:color="000000" w:sz="4" w:space="0" w:themeColor="light1"/>
          <w:right w:val="single" w:color="000000" w:sz="4" w:space="0" w:themeColor="light1"/>
        </w:tcBorders>
      </w:tcPr>
    </w:tblStylePr>
    <w:tblStylePr w:type="band2Horz">
      <w:tcPr>
        <w:shd w:val="clear" w:color="auto" w:fill="FFFFFF" w:themeFill="accent4"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4"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4" w:themeFillTint="9A"/>
        <w:tcBorders>
          <w:top w:val="single" w:color="000000" w:sz="32" w:space="0" w:themeColor="accent4" w:themeTint="9A"/>
          <w:bottom w:val="single" w:color="000000" w:sz="12" w:space="0" w:themeColor="light1"/>
        </w:tcBorders>
      </w:tcPr>
    </w:tblStylePr>
    <w:tblStylePr w:type="lastCol">
      <w:tcPr>
        <w:tcBorders>
          <w:left w:val="single" w:color="000000" w:sz="4" w:space="0" w:themeColor="light1"/>
          <w:right w:val="single" w:color="000000" w:sz="32" w:space="0" w:themeColor="accent4"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5">
    <w:name w:val="List Table 5 Dark - Accent 5"/>
    <w:basedOn w:val="397"/>
    <w:uiPriority w:val="99"/>
    <w:pPr>
      <w:spacing w:lineRule="auto" w:line="240" w:after="0"/>
    </w:pPr>
    <w:tblPr>
      <w:tblStyleRowBandSize w:val="1"/>
      <w:tblStyleColBandSize w:val="1"/>
      <w:tblInd w:w="0" w:type="dxa"/>
      <w:tblBorders>
        <w:left w:val="single" w:color="000000" w:sz="32" w:space="0" w:themeColor="accent5" w:themeTint="9A"/>
        <w:top w:val="single" w:color="000000" w:sz="32" w:space="0" w:themeColor="accent5" w:themeTint="9A"/>
        <w:right w:val="single" w:color="000000" w:sz="32" w:space="0" w:themeColor="accent5" w:themeTint="9A"/>
        <w:bottom w:val="single" w:color="000000" w:sz="32" w:space="0" w:themeColor="accent5" w:themeTint="9A"/>
      </w:tblBorders>
      <w:shd w:val="clear" w:color="auto" w:fill="FFFFFF" w:themeFill="accent5" w:themeFillTint="9A"/>
    </w:tblPr>
    <w:tblStylePr w:type="band1Horz">
      <w:tcPr>
        <w:shd w:val="clear" w:color="auto" w:fill="FFFFFF" w:themeFill="accent5" w:themeFillTint="9A"/>
        <w:tcBorders>
          <w:top w:val="single" w:color="000000" w:sz="4" w:space="0" w:themeColor="light1"/>
          <w:bottom w:val="single" w:color="000000" w:sz="4" w:space="0" w:themeColor="light1"/>
        </w:tcBorders>
      </w:tcPr>
    </w:tblStylePr>
    <w:tblStylePr w:type="band1Vert">
      <w:tcPr>
        <w:shd w:val="clear" w:color="auto" w:fill="FFFFFF" w:themeFill="accent5" w:themeFillTint="9A"/>
        <w:tcBorders>
          <w:left w:val="single" w:color="000000" w:sz="4" w:space="0" w:themeColor="light1"/>
          <w:right w:val="single" w:color="000000" w:sz="4" w:space="0" w:themeColor="light1"/>
        </w:tcBorders>
      </w:tcPr>
    </w:tblStylePr>
    <w:tblStylePr w:type="band2Horz">
      <w:tcPr>
        <w:shd w:val="clear" w:color="auto" w:fill="FFFFFF" w:themeFill="accent5" w:themeFillTint="9A"/>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5" w:themeTint="9A"/>
          <w:right w:val="single" w:color="000000" w:sz="4" w:space="0" w:themeColor="light1"/>
        </w:tcBorders>
      </w:tcPr>
    </w:tblStylePr>
    <w:tblStylePr w:type="firstRow">
      <w:rPr>
        <w:rFonts w:ascii="Arial" w:hAnsi="Arial"/>
        <w:b/>
        <w:color w:val="FFFFFF" w:themeColor="light1"/>
        <w:sz w:val="22"/>
      </w:rPr>
      <w:tcPr>
        <w:shd w:val="clear" w:color="auto" w:fill="FFFFFF" w:themeFill="accent5" w:themeFillTint="9A"/>
        <w:tcBorders>
          <w:top w:val="single" w:color="000000" w:sz="32" w:space="0" w:themeColor="accent5" w:themeTint="9A"/>
          <w:bottom w:val="single" w:color="000000" w:sz="12" w:space="0" w:themeColor="light1"/>
        </w:tcBorders>
      </w:tcPr>
    </w:tblStylePr>
    <w:tblStylePr w:type="lastCol">
      <w:tcPr>
        <w:tcBorders>
          <w:left w:val="single" w:color="000000" w:sz="4" w:space="0" w:themeColor="light1"/>
          <w:right w:val="single" w:color="000000" w:sz="32" w:space="0" w:themeColor="accent5" w:themeTint="9A"/>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6">
    <w:name w:val="List Table 5 Dark - Accent 6"/>
    <w:basedOn w:val="397"/>
    <w:uiPriority w:val="99"/>
    <w:pPr>
      <w:spacing w:lineRule="auto" w:line="240" w:after="0"/>
    </w:pPr>
    <w:tblPr>
      <w:tblStyleRowBandSize w:val="1"/>
      <w:tblStyleColBandSize w:val="1"/>
      <w:tblInd w:w="0" w:type="dxa"/>
      <w:tblBorders>
        <w:left w:val="single" w:color="000000" w:sz="32" w:space="0" w:themeColor="accent6" w:themeTint="98"/>
        <w:top w:val="single" w:color="000000" w:sz="32" w:space="0" w:themeColor="accent6" w:themeTint="98"/>
        <w:right w:val="single" w:color="000000" w:sz="32" w:space="0" w:themeColor="accent6" w:themeTint="98"/>
        <w:bottom w:val="single" w:color="000000" w:sz="32" w:space="0" w:themeColor="accent6" w:themeTint="98"/>
      </w:tblBorders>
      <w:shd w:val="clear" w:color="auto" w:fill="FFFFFF" w:themeFill="accent6" w:themeFillTint="98"/>
    </w:tblPr>
    <w:tblStylePr w:type="band1Horz">
      <w:tcPr>
        <w:shd w:val="clear" w:color="auto" w:fill="FFFFFF" w:themeFill="accent6" w:themeFillTint="98"/>
        <w:tcBorders>
          <w:top w:val="single" w:color="000000" w:sz="4" w:space="0" w:themeColor="light1"/>
          <w:bottom w:val="single" w:color="000000" w:sz="4" w:space="0" w:themeColor="light1"/>
        </w:tcBorders>
      </w:tcPr>
    </w:tblStylePr>
    <w:tblStylePr w:type="band1Vert">
      <w:tcPr>
        <w:shd w:val="clear" w:color="auto" w:fill="FFFFFF" w:themeFill="accent6" w:themeFillTint="98"/>
        <w:tcBorders>
          <w:left w:val="single" w:color="000000" w:sz="4" w:space="0" w:themeColor="light1"/>
          <w:right w:val="single" w:color="000000" w:sz="4" w:space="0" w:themeColor="light1"/>
        </w:tcBorders>
      </w:tcPr>
    </w:tblStylePr>
    <w:tblStylePr w:type="band2Horz">
      <w:tcPr>
        <w:shd w:val="clear" w:color="auto" w:fill="FFFFFF" w:themeFill="accent6" w:themeFillTint="98"/>
        <w:tcBorders>
          <w:top w:val="single" w:color="000000" w:sz="4" w:space="0" w:themeColor="light1"/>
          <w:bottom w:val="single" w:color="000000" w:sz="4" w:space="0" w:themeColor="light1"/>
        </w:tcBorders>
      </w:tcPr>
    </w:tblStylePr>
    <w:tblStylePr w:type="band2Vert">
      <w:tcPr>
        <w:tcBorders>
          <w:left w:val="single" w:color="000000" w:sz="4" w:space="0" w:themeColor="light1"/>
          <w:right w:val="single" w:color="000000" w:sz="4" w:space="0" w:themeColor="light1"/>
        </w:tcBorders>
      </w:tcPr>
    </w:tblStylePr>
    <w:tblStylePr w:type="firstCol">
      <w:rPr>
        <w:rFonts w:ascii="Arial" w:hAnsi="Arial"/>
        <w:b/>
        <w:color w:val="FFFFFF" w:themeColor="light1"/>
        <w:sz w:val="22"/>
      </w:rPr>
      <w:tcPr>
        <w:tcBorders>
          <w:left w:val="single" w:color="000000" w:sz="32" w:space="0" w:themeColor="accent6" w:themeTint="98"/>
          <w:right w:val="single" w:color="000000" w:sz="4" w:space="0" w:themeColor="light1"/>
        </w:tcBorders>
      </w:tcPr>
    </w:tblStylePr>
    <w:tblStylePr w:type="firstRow">
      <w:rPr>
        <w:rFonts w:ascii="Arial" w:hAnsi="Arial"/>
        <w:b/>
        <w:color w:val="FFFFFF" w:themeColor="light1"/>
        <w:sz w:val="22"/>
      </w:rPr>
      <w:tcPr>
        <w:shd w:val="clear" w:color="auto" w:fill="FFFFFF" w:themeFill="accent6" w:themeFillTint="98"/>
        <w:tcBorders>
          <w:top w:val="single" w:color="000000" w:sz="32" w:space="0" w:themeColor="accent6" w:themeTint="98"/>
          <w:bottom w:val="single" w:color="000000" w:sz="12" w:space="0" w:themeColor="light1"/>
        </w:tcBorders>
      </w:tcPr>
    </w:tblStylePr>
    <w:tblStylePr w:type="lastCol">
      <w:tcPr>
        <w:tcBorders>
          <w:left w:val="single" w:color="000000" w:sz="4" w:space="0" w:themeColor="light1"/>
          <w:right w:val="single" w:color="000000" w:sz="32" w:space="0" w:themeColor="accent6" w:themeTint="98"/>
        </w:tcBorders>
      </w:tcPr>
    </w:tblStylePr>
    <w:tblStylePr w:type="lastRow">
      <w:rPr>
        <w:rFonts w:ascii="Arial" w:hAnsi="Arial"/>
        <w:b/>
        <w:color w:val="FFFFFF" w:themeColor="light1"/>
        <w:sz w:val="22"/>
      </w:rPr>
    </w:tblStylePr>
    <w:tblStylePr w:type="wholeTable">
      <w:rPr>
        <w:rFonts w:ascii="Arial" w:hAnsi="Arial"/>
        <w:color w:val="FFFFFF" w:themeColor="light1"/>
        <w:sz w:val="22"/>
      </w:rPr>
    </w:tblStylePr>
  </w:style>
  <w:style w:type="table" w:styleId="137">
    <w:name w:val="List Table 6 Colorful"/>
    <w:basedOn w:val="397"/>
    <w:uiPriority w:val="99"/>
    <w:pPr>
      <w:spacing w:lineRule="auto" w:line="240" w:after="0"/>
    </w:pPr>
    <w:tblPr>
      <w:tblStyleRowBandSize w:val="1"/>
      <w:tblStyleColBandSize w:val="1"/>
      <w:tblInd w:w="0" w:type="dxa"/>
      <w:tblBorders>
        <w:top w:val="single" w:color="000000" w:sz="4" w:space="0" w:themeColor="text1" w:themeTint="80"/>
        <w:bottom w:val="single" w:color="000000" w:sz="4" w:space="0" w:themeColor="text1" w:themeTint="80"/>
      </w:tblBorders>
    </w:tblPr>
    <w:tblStylePr w:type="band1Horz">
      <w:rPr>
        <w:rFonts w:ascii="Arial" w:hAnsi="Arial"/>
        <w:color w:val="404040" w:themeColor="text1"/>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04040" w:themeColor="text1"/>
        <w:sz w:val="22"/>
      </w:rPr>
    </w:tblStylePr>
    <w:tblStylePr w:type="firstCol">
      <w:rPr>
        <w:b/>
        <w:color w:val="000000" w:themeColor="text1"/>
      </w:rPr>
    </w:tblStylePr>
    <w:tblStylePr w:type="firstRow">
      <w:rPr>
        <w:b/>
        <w:color w:val="000000" w:themeColor="text1"/>
      </w:rPr>
      <w:tcPr>
        <w:tcBorders>
          <w:bottom w:val="single" w:color="000000" w:sz="4" w:space="0" w:themeColor="text1" w:themeTint="80"/>
        </w:tcBorders>
      </w:tcPr>
    </w:tblStylePr>
    <w:tblStylePr w:type="lastCol">
      <w:rPr>
        <w:b/>
        <w:color w:val="000000" w:themeColor="text1"/>
      </w:rPr>
    </w:tblStylePr>
    <w:tblStylePr w:type="lastRow">
      <w:rPr>
        <w:b/>
        <w:color w:val="000000" w:themeColor="text1"/>
      </w:rPr>
      <w:tcPr>
        <w:tcBorders>
          <w:top w:val="single" w:color="000000" w:sz="4" w:space="0" w:themeColor="text1" w:themeTint="80"/>
        </w:tcBorders>
      </w:tcPr>
    </w:tblStylePr>
  </w:style>
  <w:style w:type="table" w:styleId="138">
    <w:name w:val="List Table 6 Colorful - Accent 1"/>
    <w:basedOn w:val="397"/>
    <w:uiPriority w:val="99"/>
    <w:pPr>
      <w:spacing w:lineRule="auto" w:line="240" w:after="0"/>
    </w:pPr>
    <w:tblPr>
      <w:tblStyleRowBandSize w:val="1"/>
      <w:tblStyleColBandSize w:val="1"/>
      <w:tblInd w:w="0" w:type="dxa"/>
      <w:tblBorders>
        <w:top w:val="single" w:color="000000" w:sz="4" w:space="0" w:themeColor="accent1"/>
        <w:bottom w:val="single" w:color="000000" w:sz="4" w:space="0" w:themeColor="accent1"/>
      </w:tblBorders>
    </w:tblPr>
    <w:tblStylePr w:type="band1Horz">
      <w:rPr>
        <w:rFonts w:ascii="Arial" w:hAnsi="Arial"/>
        <w:color w:val="404040"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404040" w:themeColor="accent1" w:themeShade="95"/>
        <w:sz w:val="22"/>
      </w:rPr>
    </w:tblStylePr>
    <w:tblStylePr w:type="firstCol">
      <w:rPr>
        <w:b/>
        <w:color w:val="245D8D" w:themeColor="accent1" w:themeShade="95"/>
      </w:rPr>
    </w:tblStylePr>
    <w:tblStylePr w:type="firstRow">
      <w:rPr>
        <w:b/>
        <w:color w:val="245D8D" w:themeColor="accent1" w:themeShade="95"/>
      </w:rPr>
      <w:tcPr>
        <w:tcBorders>
          <w:bottom w:val="single" w:color="000000" w:sz="4" w:space="0" w:themeColor="accent1"/>
        </w:tcBorders>
      </w:tcPr>
    </w:tblStylePr>
    <w:tblStylePr w:type="lastCol">
      <w:rPr>
        <w:b/>
        <w:color w:val="245D8D" w:themeColor="accent1" w:themeShade="95"/>
      </w:rPr>
    </w:tblStylePr>
    <w:tblStylePr w:type="lastRow">
      <w:rPr>
        <w:b/>
        <w:color w:val="245D8D" w:themeColor="accent1" w:themeShade="95"/>
      </w:rPr>
      <w:tcPr>
        <w:tcBorders>
          <w:top w:val="single" w:color="000000" w:sz="4" w:space="0" w:themeColor="accent1"/>
        </w:tcBorders>
      </w:tcPr>
    </w:tblStylePr>
  </w:style>
  <w:style w:type="table" w:styleId="139">
    <w:name w:val="List Table 6 Colorful - Accent 2"/>
    <w:basedOn w:val="397"/>
    <w:uiPriority w:val="99"/>
    <w:pPr>
      <w:spacing w:lineRule="auto" w:line="240" w:after="0"/>
    </w:pPr>
    <w:tblPr>
      <w:tblStyleRowBandSize w:val="1"/>
      <w:tblStyleColBandSize w:val="1"/>
      <w:tblInd w:w="0" w:type="dxa"/>
      <w:tblBorders>
        <w:top w:val="single" w:color="000000" w:sz="4" w:space="0" w:themeColor="accent2" w:themeTint="97"/>
        <w:bottom w:val="single" w:color="000000" w:sz="4" w:space="0" w:themeColor="accent2" w:themeTint="97"/>
      </w:tblBorders>
    </w:tblPr>
    <w:tblStylePr w:type="band1Horz">
      <w:rPr>
        <w:rFonts w:ascii="Arial" w:hAnsi="Arial"/>
        <w:color w:val="404040"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404040" w:themeColor="accent2" w:themeTint="97" w:themeShade="95"/>
        <w:sz w:val="22"/>
      </w:rPr>
    </w:tblStylePr>
    <w:tblStylePr w:type="firstCol">
      <w:rPr>
        <w:b/>
        <w:color w:val="C95712" w:themeColor="accent2" w:themeTint="97" w:themeShade="95"/>
      </w:rPr>
    </w:tblStylePr>
    <w:tblStylePr w:type="firstRow">
      <w:rPr>
        <w:b/>
        <w:color w:val="C95712" w:themeColor="accent2" w:themeTint="97" w:themeShade="95"/>
      </w:rPr>
      <w:tcPr>
        <w:tcBorders>
          <w:bottom w:val="single" w:color="000000" w:sz="4" w:space="0" w:themeColor="accent2" w:themeTint="97"/>
        </w:tcBorders>
      </w:tcPr>
    </w:tblStylePr>
    <w:tblStylePr w:type="lastCol">
      <w:rPr>
        <w:b/>
        <w:color w:val="C95712" w:themeColor="accent2" w:themeTint="97" w:themeShade="95"/>
      </w:rPr>
    </w:tblStylePr>
    <w:tblStylePr w:type="lastRow">
      <w:rPr>
        <w:b/>
        <w:color w:val="C95712" w:themeColor="accent2" w:themeTint="97" w:themeShade="95"/>
      </w:rPr>
      <w:tcPr>
        <w:tcBorders>
          <w:top w:val="single" w:color="000000" w:sz="4" w:space="0" w:themeColor="accent2" w:themeTint="97"/>
        </w:tcBorders>
      </w:tcPr>
    </w:tblStylePr>
  </w:style>
  <w:style w:type="table" w:styleId="140">
    <w:name w:val="List Table 6 Colorful - Accent 3"/>
    <w:basedOn w:val="397"/>
    <w:uiPriority w:val="99"/>
    <w:pPr>
      <w:spacing w:lineRule="auto" w:line="240" w:after="0"/>
    </w:pPr>
    <w:tblPr>
      <w:tblStyleRowBandSize w:val="1"/>
      <w:tblStyleColBandSize w:val="1"/>
      <w:tblInd w:w="0" w:type="dxa"/>
      <w:tblBorders>
        <w:top w:val="single" w:color="000000" w:sz="4" w:space="0" w:themeColor="accent3" w:themeTint="98"/>
        <w:bottom w:val="single" w:color="000000" w:sz="4" w:space="0" w:themeColor="accent3" w:themeTint="98"/>
      </w:tblBorders>
    </w:tblPr>
    <w:tblStylePr w:type="band1Horz">
      <w:rPr>
        <w:rFonts w:ascii="Arial" w:hAnsi="Arial"/>
        <w:color w:val="404040"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404040" w:themeColor="accent3" w:themeTint="98" w:themeShade="95"/>
        <w:sz w:val="22"/>
      </w:rPr>
    </w:tblStylePr>
    <w:tblStylePr w:type="firstCol">
      <w:rPr>
        <w:b/>
        <w:color w:val="757575" w:themeColor="accent3" w:themeTint="98" w:themeShade="95"/>
      </w:rPr>
    </w:tblStylePr>
    <w:tblStylePr w:type="firstRow">
      <w:rPr>
        <w:b/>
        <w:color w:val="757575" w:themeColor="accent3" w:themeTint="98" w:themeShade="95"/>
      </w:rPr>
      <w:tcPr>
        <w:tcBorders>
          <w:bottom w:val="single" w:color="000000" w:sz="4" w:space="0" w:themeColor="accent3" w:themeTint="98"/>
        </w:tcBorders>
      </w:tcPr>
    </w:tblStylePr>
    <w:tblStylePr w:type="lastCol">
      <w:rPr>
        <w:b/>
        <w:color w:val="757575" w:themeColor="accent3" w:themeTint="98" w:themeShade="95"/>
      </w:rPr>
    </w:tblStylePr>
    <w:tblStylePr w:type="lastRow">
      <w:rPr>
        <w:b/>
        <w:color w:val="757575" w:themeColor="accent3" w:themeTint="98" w:themeShade="95"/>
      </w:rPr>
      <w:tcPr>
        <w:tcBorders>
          <w:top w:val="single" w:color="000000" w:sz="4" w:space="0" w:themeColor="accent3" w:themeTint="98"/>
        </w:tcBorders>
      </w:tcPr>
    </w:tblStylePr>
  </w:style>
  <w:style w:type="table" w:styleId="141">
    <w:name w:val="List Table 6 Colorful - Accent 4"/>
    <w:basedOn w:val="397"/>
    <w:uiPriority w:val="99"/>
    <w:pPr>
      <w:spacing w:lineRule="auto" w:line="240" w:after="0"/>
    </w:pPr>
    <w:tblPr>
      <w:tblStyleRowBandSize w:val="1"/>
      <w:tblStyleColBandSize w:val="1"/>
      <w:tblInd w:w="0" w:type="dxa"/>
      <w:tblBorders>
        <w:top w:val="single" w:color="000000" w:sz="4" w:space="0" w:themeColor="accent4" w:themeTint="9A"/>
        <w:bottom w:val="single" w:color="000000" w:sz="4" w:space="0" w:themeColor="accent4" w:themeTint="9A"/>
      </w:tblBorders>
    </w:tblPr>
    <w:tblStylePr w:type="band1Horz">
      <w:rPr>
        <w:rFonts w:ascii="Arial" w:hAnsi="Arial"/>
        <w:color w:val="40404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404040" w:themeColor="accent4" w:themeTint="9A" w:themeShade="95"/>
        <w:sz w:val="22"/>
      </w:rPr>
    </w:tblStylePr>
    <w:tblStylePr w:type="firstCol">
      <w:rPr>
        <w:b/>
        <w:color w:val="CD9600" w:themeColor="accent4" w:themeTint="9A" w:themeShade="95"/>
      </w:rPr>
    </w:tblStylePr>
    <w:tblStylePr w:type="firstRow">
      <w:rPr>
        <w:b/>
        <w:color w:val="CD9600" w:themeColor="accent4" w:themeTint="9A" w:themeShade="95"/>
      </w:rPr>
      <w:tcPr>
        <w:tcBorders>
          <w:bottom w:val="single" w:color="000000" w:sz="4" w:space="0" w:themeColor="accent4" w:themeTint="9A"/>
        </w:tcBorders>
      </w:tcPr>
    </w:tblStylePr>
    <w:tblStylePr w:type="lastCol">
      <w:rPr>
        <w:b/>
        <w:color w:val="CD9600" w:themeColor="accent4" w:themeTint="9A" w:themeShade="95"/>
      </w:rPr>
    </w:tblStylePr>
    <w:tblStylePr w:type="lastRow">
      <w:rPr>
        <w:b/>
        <w:color w:val="CD9600" w:themeColor="accent4" w:themeTint="9A" w:themeShade="95"/>
      </w:rPr>
      <w:tcPr>
        <w:tcBorders>
          <w:top w:val="single" w:color="000000" w:sz="4" w:space="0" w:themeColor="accent4" w:themeTint="9A"/>
        </w:tcBorders>
      </w:tcPr>
    </w:tblStylePr>
  </w:style>
  <w:style w:type="table" w:styleId="142">
    <w:name w:val="List Table 6 Colorful - Accent 5"/>
    <w:basedOn w:val="397"/>
    <w:uiPriority w:val="99"/>
    <w:pPr>
      <w:spacing w:lineRule="auto" w:line="240" w:after="0"/>
    </w:pPr>
    <w:tblPr>
      <w:tblStyleRowBandSize w:val="1"/>
      <w:tblStyleColBandSize w:val="1"/>
      <w:tblInd w:w="0" w:type="dxa"/>
      <w:tblBorders>
        <w:top w:val="single" w:color="000000" w:sz="4" w:space="0" w:themeColor="accent5" w:themeTint="9A"/>
        <w:bottom w:val="single" w:color="000000" w:sz="4" w:space="0" w:themeColor="accent5" w:themeTint="9A"/>
      </w:tblBorders>
    </w:tblPr>
    <w:tblStylePr w:type="band1Horz">
      <w:rPr>
        <w:rFonts w:ascii="Arial" w:hAnsi="Arial"/>
        <w:color w:val="404040"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404040" w:themeColor="accent5" w:themeTint="9A" w:themeShade="95"/>
        <w:sz w:val="22"/>
      </w:rPr>
    </w:tblStylePr>
    <w:tblStylePr w:type="firstCol">
      <w:rPr>
        <w:b/>
        <w:color w:val="335E9E" w:themeColor="accent5" w:themeTint="9A" w:themeShade="95"/>
      </w:rPr>
    </w:tblStylePr>
    <w:tblStylePr w:type="firstRow">
      <w:rPr>
        <w:b/>
        <w:color w:val="335E9E" w:themeColor="accent5" w:themeTint="9A" w:themeShade="95"/>
      </w:rPr>
      <w:tcPr>
        <w:tcBorders>
          <w:bottom w:val="single" w:color="000000" w:sz="4" w:space="0" w:themeColor="accent5" w:themeTint="9A"/>
        </w:tcBorders>
      </w:tcPr>
    </w:tblStylePr>
    <w:tblStylePr w:type="lastCol">
      <w:rPr>
        <w:b/>
        <w:color w:val="335E9E" w:themeColor="accent5" w:themeTint="9A" w:themeShade="95"/>
      </w:rPr>
    </w:tblStylePr>
    <w:tblStylePr w:type="lastRow">
      <w:rPr>
        <w:b/>
        <w:color w:val="335E9E" w:themeColor="accent5" w:themeTint="9A" w:themeShade="95"/>
      </w:rPr>
      <w:tcPr>
        <w:tcBorders>
          <w:top w:val="single" w:color="000000" w:sz="4" w:space="0" w:themeColor="accent5" w:themeTint="9A"/>
        </w:tcBorders>
      </w:tcPr>
    </w:tblStylePr>
  </w:style>
  <w:style w:type="table" w:styleId="143">
    <w:name w:val="List Table 6 Colorful - Accent 6"/>
    <w:basedOn w:val="397"/>
    <w:uiPriority w:val="99"/>
    <w:pPr>
      <w:spacing w:lineRule="auto" w:line="240" w:after="0"/>
    </w:pPr>
    <w:tblPr>
      <w:tblStyleRowBandSize w:val="1"/>
      <w:tblStyleColBandSize w:val="1"/>
      <w:tblInd w:w="0" w:type="dxa"/>
      <w:tblBorders>
        <w:top w:val="single" w:color="000000" w:sz="4" w:space="0" w:themeColor="accent6" w:themeTint="98"/>
        <w:bottom w:val="single" w:color="000000" w:sz="4" w:space="0" w:themeColor="accent6" w:themeTint="98"/>
      </w:tblBorders>
    </w:tblPr>
    <w:tblStylePr w:type="band1Horz">
      <w:rPr>
        <w:rFonts w:ascii="Arial" w:hAnsi="Arial"/>
        <w:color w:val="404040"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404040" w:themeColor="accent6" w:themeTint="98" w:themeShade="95"/>
        <w:sz w:val="22"/>
      </w:rPr>
    </w:tblStylePr>
    <w:tblStylePr w:type="firstCol">
      <w:rPr>
        <w:b/>
        <w:color w:val="5F8F3C" w:themeColor="accent6" w:themeTint="98" w:themeShade="95"/>
      </w:rPr>
    </w:tblStylePr>
    <w:tblStylePr w:type="firstRow">
      <w:rPr>
        <w:b/>
        <w:color w:val="5F8F3C" w:themeColor="accent6" w:themeTint="98" w:themeShade="95"/>
      </w:rPr>
      <w:tcPr>
        <w:tcBorders>
          <w:bottom w:val="single" w:color="000000" w:sz="4" w:space="0" w:themeColor="accent6" w:themeTint="98"/>
        </w:tcBorders>
      </w:tcPr>
    </w:tblStylePr>
    <w:tblStylePr w:type="lastCol">
      <w:rPr>
        <w:b/>
        <w:color w:val="5F8F3C" w:themeColor="accent6" w:themeTint="98" w:themeShade="95"/>
      </w:rPr>
    </w:tblStylePr>
    <w:tblStylePr w:type="lastRow">
      <w:rPr>
        <w:b/>
        <w:color w:val="5F8F3C" w:themeColor="accent6" w:themeTint="98" w:themeShade="95"/>
      </w:rPr>
      <w:tcPr>
        <w:tcBorders>
          <w:top w:val="single" w:color="000000" w:sz="4" w:space="0" w:themeColor="accent6" w:themeTint="98"/>
        </w:tcBorders>
      </w:tcPr>
    </w:tblStylePr>
  </w:style>
  <w:style w:type="table" w:styleId="144">
    <w:name w:val="List Table 7 Colorful"/>
    <w:basedOn w:val="397"/>
    <w:uiPriority w:val="99"/>
    <w:pPr>
      <w:spacing w:lineRule="auto" w:line="240" w:after="0"/>
    </w:pPr>
    <w:tblPr>
      <w:tblStyleRowBandSize w:val="1"/>
      <w:tblStyleColBandSize w:val="1"/>
      <w:tblInd w:w="0" w:type="dxa"/>
      <w:tblBorders>
        <w:right w:val="single" w:color="000000" w:sz="4" w:space="0" w:themeColor="text1" w:themeTint="80"/>
      </w:tblBorders>
    </w:tblPr>
    <w:tblStylePr w:type="band1Horz">
      <w:rPr>
        <w:rFonts w:ascii="Arial" w:hAnsi="Arial"/>
        <w:color w:val="4A4A4A" w:themeColor="text1" w:themeTint="80" w:themeShade="95"/>
        <w:sz w:val="22"/>
      </w:rPr>
      <w:tcPr>
        <w:shd w:val="clear" w:color="auto" w:fill="FFFFFF" w:themeFill="text1" w:themeFillTint="40"/>
      </w:tcPr>
    </w:tblStylePr>
    <w:tblStylePr w:type="band1Vert">
      <w:tcPr>
        <w:shd w:val="clear" w:color="auto" w:fill="FFFFFF" w:themeFill="text1" w:themeFillTint="40"/>
      </w:tcPr>
    </w:tblStylePr>
    <w:tblStylePr w:type="band2Horz">
      <w:rPr>
        <w:rFonts w:ascii="Arial" w:hAnsi="Arial"/>
        <w:color w:val="4A4A4A" w:themeColor="text1" w:themeTint="80" w:themeShade="95"/>
        <w:sz w:val="22"/>
      </w:rPr>
    </w:tblStylePr>
    <w:tblStylePr w:type="firstCol">
      <w:rPr>
        <w:rFonts w:ascii="Arial" w:hAnsi="Arial"/>
        <w:i/>
        <w:color w:val="4A4A4A" w:themeColor="text1" w:themeTint="80" w:themeShade="95"/>
        <w:sz w:val="22"/>
      </w:rPr>
      <w:pPr>
        <w:jc w:val="right"/>
      </w:pPr>
      <w:tcPr>
        <w:shd w:color="auto" w:fill="FFFFFF"/>
        <w:tcBorders>
          <w:left w:val="none"/>
          <w:top w:val="none"/>
          <w:right w:val="single" w:color="000000" w:sz="4" w:space="0" w:themeColor="text1" w:themeTint="80"/>
          <w:bottom w:val="none"/>
        </w:tcBorders>
      </w:tcPr>
    </w:tblStylePr>
    <w:tblStylePr w:type="firstRow">
      <w:rPr>
        <w:rFonts w:ascii="Arial" w:hAnsi="Arial"/>
        <w:i/>
        <w:color w:val="4A4A4A" w:themeColor="text1" w:themeTint="80" w:themeShade="95"/>
        <w:sz w:val="22"/>
      </w:rPr>
      <w:tcPr>
        <w:shd w:val="clear" w:color="auto" w:fill="FFFFFF" w:themeFill="light1"/>
        <w:tcBorders>
          <w:left w:val="none"/>
          <w:top w:val="none"/>
          <w:right w:val="none"/>
          <w:bottom w:val="single" w:color="000000" w:sz="4" w:space="0" w:themeColor="text1" w:themeTint="80"/>
        </w:tcBorders>
      </w:tcPr>
    </w:tblStylePr>
    <w:tblStylePr w:type="lastCol">
      <w:rPr>
        <w:rFonts w:ascii="Arial" w:hAnsi="Arial"/>
        <w:i/>
        <w:color w:val="4A4A4A" w:themeColor="text1" w:themeTint="80" w:themeShade="95"/>
        <w:sz w:val="22"/>
      </w:rPr>
      <w:tcPr>
        <w:shd w:color="auto" w:fill="FFFFFF"/>
        <w:tcBorders>
          <w:left w:val="single" w:color="000000" w:sz="4" w:space="0" w:themeColor="text1" w:themeTint="80"/>
          <w:top w:val="none"/>
          <w:right w:val="none"/>
          <w:bottom w:val="none"/>
        </w:tcBorders>
      </w:tcPr>
    </w:tblStylePr>
    <w:tblStylePr w:type="lastRow">
      <w:rPr>
        <w:rFonts w:ascii="Arial" w:hAnsi="Arial"/>
        <w:i/>
        <w:color w:val="4A4A4A" w:themeColor="text1" w:themeTint="80" w:themeShade="95"/>
        <w:sz w:val="22"/>
      </w:rPr>
      <w:tcPr>
        <w:shd w:val="clear" w:color="auto" w:fill="FFFFFF" w:themeFill="light1"/>
        <w:tcBorders>
          <w:left w:val="none"/>
          <w:top w:val="single" w:color="000000" w:sz="4" w:space="0" w:themeColor="text1" w:themeTint="80"/>
          <w:right w:val="none"/>
          <w:bottom w:val="none"/>
        </w:tcBorders>
      </w:tcPr>
    </w:tblStylePr>
    <w:tblStylePr w:type="wholeTable">
      <w:rPr>
        <w:rFonts w:ascii="Arial" w:hAnsi="Arial"/>
        <w:color w:val="4A4A4A" w:themeColor="text1" w:themeTint="80" w:themeShade="95"/>
        <w:sz w:val="22"/>
      </w:rPr>
    </w:tblStylePr>
  </w:style>
  <w:style w:type="table" w:styleId="145">
    <w:name w:val="List Table 7 Colorful - Accent 1"/>
    <w:basedOn w:val="397"/>
    <w:uiPriority w:val="99"/>
    <w:pPr>
      <w:spacing w:lineRule="auto" w:line="240" w:after="0"/>
    </w:pPr>
    <w:tblPr>
      <w:tblStyleRowBandSize w:val="1"/>
      <w:tblStyleColBandSize w:val="1"/>
      <w:tblInd w:w="0" w:type="dxa"/>
      <w:tblBorders>
        <w:right w:val="single" w:color="000000" w:sz="4" w:space="0" w:themeColor="accent1"/>
      </w:tblBorders>
    </w:tblPr>
    <w:tblStylePr w:type="band1Horz">
      <w:rPr>
        <w:rFonts w:ascii="Arial" w:hAnsi="Arial"/>
        <w:color w:val="245D8D" w:themeColor="accent1" w:themeShade="95"/>
        <w:sz w:val="22"/>
      </w:rPr>
      <w:tcPr>
        <w:shd w:val="clear" w:color="auto" w:fill="FFFFFF" w:themeFill="accent1" w:themeFillTint="40"/>
      </w:tcPr>
    </w:tblStylePr>
    <w:tblStylePr w:type="band1Vert">
      <w:tcPr>
        <w:shd w:val="clear" w:color="auto" w:fill="FFFFFF" w:themeFill="accent1" w:themeFillTint="40"/>
      </w:tcPr>
    </w:tblStylePr>
    <w:tblStylePr w:type="band2Horz">
      <w:rPr>
        <w:rFonts w:ascii="Arial" w:hAnsi="Arial"/>
        <w:color w:val="245D8D" w:themeColor="accent1" w:themeShade="95"/>
        <w:sz w:val="22"/>
      </w:rPr>
    </w:tblStylePr>
    <w:tblStylePr w:type="firstCol">
      <w:rPr>
        <w:rFonts w:ascii="Arial" w:hAnsi="Arial"/>
        <w:i/>
        <w:color w:val="245D8D" w:themeColor="accent1" w:themeShade="95"/>
        <w:sz w:val="22"/>
      </w:rPr>
      <w:pPr>
        <w:jc w:val="right"/>
      </w:pPr>
      <w:tcPr>
        <w:shd w:color="auto" w:fill="FFFFFF"/>
        <w:tcBorders>
          <w:left w:val="none"/>
          <w:top w:val="none"/>
          <w:right w:val="single" w:color="000000" w:sz="4" w:space="0" w:themeColor="accent1"/>
          <w:bottom w:val="none"/>
        </w:tcBorders>
      </w:tcPr>
    </w:tblStylePr>
    <w:tblStylePr w:type="firstRow">
      <w:rPr>
        <w:rFonts w:ascii="Arial" w:hAnsi="Arial"/>
        <w:i/>
        <w:color w:val="245D8D" w:themeColor="accent1" w:themeShade="95"/>
        <w:sz w:val="22"/>
      </w:rPr>
      <w:tcPr>
        <w:shd w:val="clear" w:color="auto" w:fill="FFFFFF" w:themeFill="light1"/>
        <w:tcBorders>
          <w:left w:val="none"/>
          <w:top w:val="none"/>
          <w:right w:val="none"/>
          <w:bottom w:val="single" w:color="000000" w:sz="4" w:space="0" w:themeColor="accent1"/>
        </w:tcBorders>
      </w:tcPr>
    </w:tblStylePr>
    <w:tblStylePr w:type="lastCol">
      <w:rPr>
        <w:rFonts w:ascii="Arial" w:hAnsi="Arial"/>
        <w:i/>
        <w:color w:val="245D8D" w:themeColor="accent1" w:themeShade="95"/>
        <w:sz w:val="22"/>
      </w:rPr>
      <w:tcPr>
        <w:shd w:color="auto" w:fill="FFFFFF"/>
        <w:tcBorders>
          <w:left w:val="single" w:color="000000" w:sz="4" w:space="0" w:themeColor="accent1"/>
          <w:top w:val="none"/>
          <w:right w:val="none"/>
          <w:bottom w:val="none"/>
        </w:tcBorders>
      </w:tcPr>
    </w:tblStylePr>
    <w:tblStylePr w:type="lastRow">
      <w:rPr>
        <w:rFonts w:ascii="Arial" w:hAnsi="Arial"/>
        <w:i/>
        <w:color w:val="245D8D" w:themeColor="accent1" w:themeShade="95"/>
        <w:sz w:val="22"/>
      </w:rPr>
      <w:tcPr>
        <w:shd w:val="clear" w:color="auto" w:fill="FFFFFF" w:themeFill="light1"/>
        <w:tcBorders>
          <w:left w:val="none"/>
          <w:top w:val="single" w:color="000000" w:sz="4" w:space="0" w:themeColor="accent1"/>
          <w:right w:val="none"/>
          <w:bottom w:val="none"/>
        </w:tcBorders>
      </w:tcPr>
    </w:tblStylePr>
    <w:tblStylePr w:type="wholeTable">
      <w:rPr>
        <w:rFonts w:ascii="Arial" w:hAnsi="Arial"/>
        <w:color w:val="245D8D" w:themeColor="accent1" w:themeShade="95"/>
        <w:sz w:val="22"/>
      </w:rPr>
    </w:tblStylePr>
  </w:style>
  <w:style w:type="table" w:styleId="146">
    <w:name w:val="List Table 7 Colorful - Accent 2"/>
    <w:basedOn w:val="397"/>
    <w:uiPriority w:val="99"/>
    <w:pPr>
      <w:spacing w:lineRule="auto" w:line="240" w:after="0"/>
    </w:pPr>
    <w:tblPr>
      <w:tblStyleRowBandSize w:val="1"/>
      <w:tblStyleColBandSize w:val="1"/>
      <w:tblInd w:w="0" w:type="dxa"/>
      <w:tblBorders>
        <w:right w:val="single" w:color="000000" w:sz="4" w:space="0" w:themeColor="accent2" w:themeTint="97"/>
      </w:tblBorders>
    </w:tblPr>
    <w:tblStylePr w:type="band1Horz">
      <w:rPr>
        <w:rFonts w:ascii="Arial" w:hAnsi="Arial"/>
        <w:color w:val="C95712" w:themeColor="accent2" w:themeTint="97" w:themeShade="95"/>
        <w:sz w:val="22"/>
      </w:rPr>
      <w:tcPr>
        <w:shd w:val="clear" w:color="auto" w:fill="FFFFFF" w:themeFill="accent2" w:themeFillTint="40"/>
      </w:tcPr>
    </w:tblStylePr>
    <w:tblStylePr w:type="band1Vert">
      <w:tcPr>
        <w:shd w:val="clear" w:color="auto" w:fill="FFFFFF" w:themeFill="accent2" w:themeFillTint="40"/>
      </w:tcPr>
    </w:tblStylePr>
    <w:tblStylePr w:type="band2Horz">
      <w:rPr>
        <w:rFonts w:ascii="Arial" w:hAnsi="Arial"/>
        <w:color w:val="C95712" w:themeColor="accent2" w:themeTint="97" w:themeShade="95"/>
        <w:sz w:val="22"/>
      </w:rPr>
    </w:tblStylePr>
    <w:tblStylePr w:type="firstCol">
      <w:rPr>
        <w:rFonts w:ascii="Arial" w:hAnsi="Arial"/>
        <w:i/>
        <w:color w:val="C95712" w:themeColor="accent2" w:themeTint="97" w:themeShade="95"/>
        <w:sz w:val="22"/>
      </w:rPr>
      <w:pPr>
        <w:jc w:val="right"/>
      </w:pPr>
      <w:tcPr>
        <w:shd w:color="auto" w:fill="FFFFFF"/>
        <w:tcBorders>
          <w:left w:val="none"/>
          <w:top w:val="none"/>
          <w:right w:val="single" w:color="000000" w:sz="4" w:space="0" w:themeColor="accent2" w:themeTint="97"/>
          <w:bottom w:val="none"/>
        </w:tcBorders>
      </w:tcPr>
    </w:tblStylePr>
    <w:tblStylePr w:type="firstRow">
      <w:rPr>
        <w:rFonts w:ascii="Arial" w:hAnsi="Arial"/>
        <w:i/>
        <w:color w:val="C95712" w:themeColor="accent2" w:themeTint="97" w:themeShade="95"/>
        <w:sz w:val="22"/>
      </w:rPr>
      <w:tcPr>
        <w:shd w:val="clear" w:color="auto" w:fill="FFFFFF" w:themeFill="light1"/>
        <w:tcBorders>
          <w:left w:val="none"/>
          <w:top w:val="none"/>
          <w:right w:val="none"/>
          <w:bottom w:val="single" w:color="000000" w:sz="4" w:space="0" w:themeColor="accent2" w:themeTint="97"/>
        </w:tcBorders>
      </w:tcPr>
    </w:tblStylePr>
    <w:tblStylePr w:type="lastCol">
      <w:rPr>
        <w:rFonts w:ascii="Arial" w:hAnsi="Arial"/>
        <w:i/>
        <w:color w:val="C95712" w:themeColor="accent2" w:themeTint="97" w:themeShade="95"/>
        <w:sz w:val="22"/>
      </w:rPr>
      <w:tcPr>
        <w:shd w:color="auto" w:fill="FFFFFF"/>
        <w:tcBorders>
          <w:left w:val="single" w:color="000000" w:sz="4" w:space="0" w:themeColor="accent2" w:themeTint="97"/>
          <w:top w:val="none"/>
          <w:right w:val="none"/>
          <w:bottom w:val="none"/>
        </w:tcBorders>
      </w:tcPr>
    </w:tblStylePr>
    <w:tblStylePr w:type="lastRow">
      <w:rPr>
        <w:rFonts w:ascii="Arial" w:hAnsi="Arial"/>
        <w:i/>
        <w:color w:val="C95712" w:themeColor="accent2" w:themeTint="97" w:themeShade="95"/>
        <w:sz w:val="22"/>
      </w:rPr>
      <w:tcPr>
        <w:shd w:val="clear" w:color="auto" w:fill="FFFFFF" w:themeFill="light1"/>
        <w:tcBorders>
          <w:left w:val="none"/>
          <w:top w:val="single" w:color="000000" w:sz="4" w:space="0" w:themeColor="accent2" w:themeTint="97"/>
          <w:right w:val="none"/>
          <w:bottom w:val="none"/>
        </w:tcBorders>
      </w:tcPr>
    </w:tblStylePr>
    <w:tblStylePr w:type="wholeTable">
      <w:rPr>
        <w:rFonts w:ascii="Arial" w:hAnsi="Arial"/>
        <w:color w:val="C95712" w:themeColor="accent2" w:themeTint="97" w:themeShade="95"/>
        <w:sz w:val="22"/>
      </w:rPr>
    </w:tblStylePr>
  </w:style>
  <w:style w:type="table" w:styleId="147">
    <w:name w:val="List Table 7 Colorful - Accent 3"/>
    <w:basedOn w:val="397"/>
    <w:uiPriority w:val="99"/>
    <w:pPr>
      <w:spacing w:lineRule="auto" w:line="240" w:after="0"/>
    </w:pPr>
    <w:tblPr>
      <w:tblStyleRowBandSize w:val="1"/>
      <w:tblStyleColBandSize w:val="1"/>
      <w:tblInd w:w="0" w:type="dxa"/>
      <w:tblBorders>
        <w:right w:val="single" w:color="000000" w:sz="4" w:space="0" w:themeColor="accent3" w:themeTint="98"/>
      </w:tblBorders>
    </w:tblPr>
    <w:tblStylePr w:type="band1Horz">
      <w:rPr>
        <w:rFonts w:ascii="Arial" w:hAnsi="Arial"/>
        <w:color w:val="757575" w:themeColor="accent3" w:themeTint="98" w:themeShade="95"/>
        <w:sz w:val="22"/>
      </w:rPr>
      <w:tcPr>
        <w:shd w:val="clear" w:color="auto" w:fill="FFFFFF" w:themeFill="accent3" w:themeFillTint="40"/>
      </w:tcPr>
    </w:tblStylePr>
    <w:tblStylePr w:type="band1Vert">
      <w:tcPr>
        <w:shd w:val="clear" w:color="auto" w:fill="FFFFFF" w:themeFill="accent3" w:themeFillTint="40"/>
      </w:tcPr>
    </w:tblStylePr>
    <w:tblStylePr w:type="band2Horz">
      <w:rPr>
        <w:rFonts w:ascii="Arial" w:hAnsi="Arial"/>
        <w:color w:val="757575" w:themeColor="accent3" w:themeTint="98" w:themeShade="95"/>
        <w:sz w:val="22"/>
      </w:rPr>
    </w:tblStylePr>
    <w:tblStylePr w:type="firstCol">
      <w:rPr>
        <w:rFonts w:ascii="Arial" w:hAnsi="Arial"/>
        <w:i/>
        <w:color w:val="757575" w:themeColor="accent3" w:themeTint="98" w:themeShade="95"/>
        <w:sz w:val="22"/>
      </w:rPr>
      <w:pPr>
        <w:jc w:val="right"/>
      </w:pPr>
      <w:tcPr>
        <w:shd w:color="auto" w:fill="FFFFFF"/>
        <w:tcBorders>
          <w:left w:val="none"/>
          <w:top w:val="none"/>
          <w:right w:val="single" w:color="000000" w:sz="4" w:space="0" w:themeColor="accent3" w:themeTint="98"/>
          <w:bottom w:val="none"/>
        </w:tcBorders>
      </w:tcPr>
    </w:tblStylePr>
    <w:tblStylePr w:type="firstRow">
      <w:rPr>
        <w:rFonts w:ascii="Arial" w:hAnsi="Arial"/>
        <w:i/>
        <w:color w:val="757575" w:themeColor="accent3" w:themeTint="98" w:themeShade="95"/>
        <w:sz w:val="22"/>
      </w:rPr>
      <w:tcPr>
        <w:shd w:val="clear" w:color="auto" w:fill="FFFFFF" w:themeFill="light1"/>
        <w:tcBorders>
          <w:left w:val="none"/>
          <w:top w:val="none"/>
          <w:right w:val="none"/>
          <w:bottom w:val="single" w:color="000000" w:sz="4" w:space="0" w:themeColor="accent3" w:themeTint="98"/>
        </w:tcBorders>
      </w:tcPr>
    </w:tblStylePr>
    <w:tblStylePr w:type="lastCol">
      <w:rPr>
        <w:rFonts w:ascii="Arial" w:hAnsi="Arial"/>
        <w:i/>
        <w:color w:val="757575" w:themeColor="accent3" w:themeTint="98" w:themeShade="95"/>
        <w:sz w:val="22"/>
      </w:rPr>
      <w:tcPr>
        <w:shd w:color="auto" w:fill="FFFFFF"/>
        <w:tcBorders>
          <w:left w:val="single" w:color="000000" w:sz="4" w:space="0" w:themeColor="accent3" w:themeTint="98"/>
          <w:top w:val="none"/>
          <w:right w:val="none"/>
          <w:bottom w:val="none"/>
        </w:tcBorders>
      </w:tcPr>
    </w:tblStylePr>
    <w:tblStylePr w:type="lastRow">
      <w:rPr>
        <w:rFonts w:ascii="Arial" w:hAnsi="Arial"/>
        <w:i/>
        <w:color w:val="757575" w:themeColor="accent3" w:themeTint="98" w:themeShade="95"/>
        <w:sz w:val="22"/>
      </w:rPr>
      <w:tcPr>
        <w:shd w:val="clear" w:color="auto" w:fill="FFFFFF" w:themeFill="light1"/>
        <w:tcBorders>
          <w:left w:val="none"/>
          <w:top w:val="single" w:color="000000" w:sz="4" w:space="0" w:themeColor="accent3" w:themeTint="98"/>
          <w:right w:val="none"/>
          <w:bottom w:val="none"/>
        </w:tcBorders>
      </w:tcPr>
    </w:tblStylePr>
    <w:tblStylePr w:type="wholeTable">
      <w:rPr>
        <w:rFonts w:ascii="Arial" w:hAnsi="Arial"/>
        <w:color w:val="757575" w:themeColor="accent3" w:themeTint="98" w:themeShade="95"/>
        <w:sz w:val="22"/>
      </w:rPr>
    </w:tblStylePr>
  </w:style>
  <w:style w:type="table" w:styleId="148">
    <w:name w:val="List Table 7 Colorful - Accent 4"/>
    <w:basedOn w:val="397"/>
    <w:uiPriority w:val="99"/>
    <w:pPr>
      <w:spacing w:lineRule="auto" w:line="240" w:after="0"/>
    </w:pPr>
    <w:tblPr>
      <w:tblStyleRowBandSize w:val="1"/>
      <w:tblStyleColBandSize w:val="1"/>
      <w:tblInd w:w="0" w:type="dxa"/>
      <w:tblBorders>
        <w:right w:val="single" w:color="000000" w:sz="4" w:space="0" w:themeColor="accent4" w:themeTint="9A"/>
      </w:tblBorders>
    </w:tblPr>
    <w:tblStylePr w:type="band1Horz">
      <w:rPr>
        <w:rFonts w:ascii="Arial" w:hAnsi="Arial"/>
        <w:color w:val="CD9600" w:themeColor="accent4" w:themeTint="9A" w:themeShade="95"/>
        <w:sz w:val="22"/>
      </w:rPr>
      <w:tcPr>
        <w:shd w:val="clear" w:color="auto" w:fill="FFFFFF" w:themeFill="accent4" w:themeFillTint="40"/>
      </w:tcPr>
    </w:tblStylePr>
    <w:tblStylePr w:type="band1Vert">
      <w:tcPr>
        <w:shd w:val="clear" w:color="auto" w:fill="FFFFFF" w:themeFill="accent4" w:themeFillTint="40"/>
      </w:tcPr>
    </w:tblStylePr>
    <w:tblStylePr w:type="band2Horz">
      <w:rPr>
        <w:rFonts w:ascii="Arial" w:hAnsi="Arial"/>
        <w:color w:val="CD9600" w:themeColor="accent4" w:themeTint="9A" w:themeShade="95"/>
        <w:sz w:val="22"/>
      </w:rPr>
    </w:tblStylePr>
    <w:tblStylePr w:type="firstCol">
      <w:rPr>
        <w:rFonts w:ascii="Arial" w:hAnsi="Arial"/>
        <w:i/>
        <w:color w:val="CD9600" w:themeColor="accent4" w:themeTint="9A" w:themeShade="95"/>
        <w:sz w:val="22"/>
      </w:rPr>
      <w:pPr>
        <w:jc w:val="right"/>
      </w:pPr>
      <w:tcPr>
        <w:shd w:color="auto" w:fill="FFFFFF"/>
        <w:tcBorders>
          <w:left w:val="none"/>
          <w:top w:val="none"/>
          <w:right w:val="single" w:color="000000" w:sz="4" w:space="0" w:themeColor="accent4" w:themeTint="9A"/>
          <w:bottom w:val="none"/>
        </w:tcBorders>
      </w:tcPr>
    </w:tblStylePr>
    <w:tblStylePr w:type="firstRow">
      <w:rPr>
        <w:rFonts w:ascii="Arial" w:hAnsi="Arial"/>
        <w:i/>
        <w:color w:val="CD9600" w:themeColor="accent4" w:themeTint="9A" w:themeShade="95"/>
        <w:sz w:val="22"/>
      </w:rPr>
      <w:tcPr>
        <w:shd w:val="clear" w:color="auto" w:fill="FFFFFF" w:themeFill="light1"/>
        <w:tcBorders>
          <w:left w:val="none"/>
          <w:top w:val="none"/>
          <w:right w:val="none"/>
          <w:bottom w:val="single" w:color="000000" w:sz="4" w:space="0" w:themeColor="accent4" w:themeTint="9A"/>
        </w:tcBorders>
      </w:tcPr>
    </w:tblStylePr>
    <w:tblStylePr w:type="lastCol">
      <w:rPr>
        <w:rFonts w:ascii="Arial" w:hAnsi="Arial"/>
        <w:i/>
        <w:color w:val="CD9600" w:themeColor="accent4" w:themeTint="9A" w:themeShade="95"/>
        <w:sz w:val="22"/>
      </w:rPr>
      <w:tcPr>
        <w:shd w:color="auto" w:fill="FFFFFF"/>
        <w:tcBorders>
          <w:left w:val="single" w:color="000000" w:sz="4" w:space="0" w:themeColor="accent4" w:themeTint="9A"/>
          <w:top w:val="none"/>
          <w:right w:val="none"/>
          <w:bottom w:val="none"/>
        </w:tcBorders>
      </w:tcPr>
    </w:tblStylePr>
    <w:tblStylePr w:type="lastRow">
      <w:rPr>
        <w:rFonts w:ascii="Arial" w:hAnsi="Arial"/>
        <w:i/>
        <w:color w:val="CD9600" w:themeColor="accent4" w:themeTint="9A" w:themeShade="95"/>
        <w:sz w:val="22"/>
      </w:rPr>
      <w:tcPr>
        <w:shd w:val="clear" w:color="auto" w:fill="FFFFFF" w:themeFill="light1"/>
        <w:tcBorders>
          <w:left w:val="none"/>
          <w:top w:val="single" w:color="000000" w:sz="4" w:space="0" w:themeColor="accent4" w:themeTint="9A"/>
          <w:right w:val="none"/>
          <w:bottom w:val="none"/>
        </w:tcBorders>
      </w:tcPr>
    </w:tblStylePr>
    <w:tblStylePr w:type="wholeTable">
      <w:rPr>
        <w:rFonts w:ascii="Arial" w:hAnsi="Arial"/>
        <w:color w:val="CD9600" w:themeColor="accent4" w:themeTint="9A" w:themeShade="95"/>
        <w:sz w:val="22"/>
      </w:rPr>
    </w:tblStylePr>
  </w:style>
  <w:style w:type="table" w:styleId="149">
    <w:name w:val="List Table 7 Colorful - Accent 5"/>
    <w:basedOn w:val="397"/>
    <w:uiPriority w:val="99"/>
    <w:pPr>
      <w:spacing w:lineRule="auto" w:line="240" w:after="0"/>
    </w:pPr>
    <w:tblPr>
      <w:tblStyleRowBandSize w:val="1"/>
      <w:tblStyleColBandSize w:val="1"/>
      <w:tblInd w:w="0" w:type="dxa"/>
      <w:tblBorders>
        <w:right w:val="single" w:color="000000" w:sz="4" w:space="0" w:themeColor="accent5" w:themeTint="9A"/>
      </w:tblBorders>
    </w:tblPr>
    <w:tblStylePr w:type="band1Horz">
      <w:rPr>
        <w:rFonts w:ascii="Arial" w:hAnsi="Arial"/>
        <w:color w:val="335E9E" w:themeColor="accent5" w:themeTint="9A" w:themeShade="95"/>
        <w:sz w:val="22"/>
      </w:rPr>
      <w:tcPr>
        <w:shd w:val="clear" w:color="auto" w:fill="FFFFFF" w:themeFill="accent5" w:themeFillTint="40"/>
      </w:tcPr>
    </w:tblStylePr>
    <w:tblStylePr w:type="band1Vert">
      <w:tcPr>
        <w:shd w:val="clear" w:color="auto" w:fill="FFFFFF" w:themeFill="accent5" w:themeFillTint="40"/>
      </w:tcPr>
    </w:tblStylePr>
    <w:tblStylePr w:type="band2Horz">
      <w:rPr>
        <w:rFonts w:ascii="Arial" w:hAnsi="Arial"/>
        <w:color w:val="335E9E" w:themeColor="accent5" w:themeTint="9A" w:themeShade="95"/>
        <w:sz w:val="22"/>
      </w:rPr>
    </w:tblStylePr>
    <w:tblStylePr w:type="firstCol">
      <w:rPr>
        <w:rFonts w:ascii="Arial" w:hAnsi="Arial"/>
        <w:i/>
        <w:color w:val="335E9E" w:themeColor="accent5" w:themeTint="9A" w:themeShade="95"/>
        <w:sz w:val="22"/>
      </w:rPr>
      <w:pPr>
        <w:jc w:val="right"/>
      </w:pPr>
      <w:tcPr>
        <w:shd w:color="auto" w:fill="FFFFFF"/>
        <w:tcBorders>
          <w:left w:val="none"/>
          <w:top w:val="none"/>
          <w:right w:val="single" w:color="000000" w:sz="4" w:space="0" w:themeColor="accent5" w:themeTint="9A"/>
          <w:bottom w:val="none"/>
        </w:tcBorders>
      </w:tcPr>
    </w:tblStylePr>
    <w:tblStylePr w:type="firstRow">
      <w:rPr>
        <w:rFonts w:ascii="Arial" w:hAnsi="Arial"/>
        <w:i/>
        <w:color w:val="335E9E" w:themeColor="accent5" w:themeTint="9A" w:themeShade="95"/>
        <w:sz w:val="22"/>
      </w:rPr>
      <w:tcPr>
        <w:shd w:val="clear" w:color="auto" w:fill="FFFFFF" w:themeFill="light1"/>
        <w:tcBorders>
          <w:left w:val="none"/>
          <w:top w:val="none"/>
          <w:right w:val="none"/>
          <w:bottom w:val="single" w:color="000000" w:sz="4" w:space="0" w:themeColor="accent5" w:themeTint="9A"/>
        </w:tcBorders>
      </w:tcPr>
    </w:tblStylePr>
    <w:tblStylePr w:type="lastCol">
      <w:rPr>
        <w:rFonts w:ascii="Arial" w:hAnsi="Arial"/>
        <w:i/>
        <w:color w:val="335E9E" w:themeColor="accent5" w:themeTint="9A" w:themeShade="95"/>
        <w:sz w:val="22"/>
      </w:rPr>
      <w:tcPr>
        <w:shd w:color="auto" w:fill="FFFFFF"/>
        <w:tcBorders>
          <w:left w:val="single" w:color="000000" w:sz="4" w:space="0" w:themeColor="accent5" w:themeTint="9A"/>
          <w:top w:val="none"/>
          <w:right w:val="none"/>
          <w:bottom w:val="none"/>
        </w:tcBorders>
      </w:tcPr>
    </w:tblStylePr>
    <w:tblStylePr w:type="lastRow">
      <w:rPr>
        <w:rFonts w:ascii="Arial" w:hAnsi="Arial"/>
        <w:i/>
        <w:color w:val="335E9E" w:themeColor="accent5" w:themeTint="9A" w:themeShade="95"/>
        <w:sz w:val="22"/>
      </w:rPr>
      <w:tcPr>
        <w:shd w:val="clear" w:color="auto" w:fill="FFFFFF" w:themeFill="light1"/>
        <w:tcBorders>
          <w:left w:val="none"/>
          <w:top w:val="single" w:color="000000" w:sz="4" w:space="0" w:themeColor="accent5" w:themeTint="9A"/>
          <w:right w:val="none"/>
          <w:bottom w:val="none"/>
        </w:tcBorders>
      </w:tcPr>
    </w:tblStylePr>
    <w:tblStylePr w:type="wholeTable">
      <w:rPr>
        <w:rFonts w:ascii="Arial" w:hAnsi="Arial"/>
        <w:color w:val="335E9E" w:themeColor="accent5" w:themeTint="9A" w:themeShade="95"/>
        <w:sz w:val="22"/>
      </w:rPr>
    </w:tblStylePr>
  </w:style>
  <w:style w:type="table" w:styleId="150">
    <w:name w:val="List Table 7 Colorful - Accent 6"/>
    <w:basedOn w:val="397"/>
    <w:uiPriority w:val="99"/>
    <w:pPr>
      <w:spacing w:lineRule="auto" w:line="240" w:after="0"/>
    </w:pPr>
    <w:tblPr>
      <w:tblStyleRowBandSize w:val="1"/>
      <w:tblStyleColBandSize w:val="1"/>
      <w:tblInd w:w="0" w:type="dxa"/>
      <w:tblBorders>
        <w:right w:val="single" w:color="000000" w:sz="4" w:space="0" w:themeColor="accent6" w:themeTint="98"/>
      </w:tblBorders>
    </w:tblPr>
    <w:tblStylePr w:type="band1Horz">
      <w:rPr>
        <w:rFonts w:ascii="Arial" w:hAnsi="Arial"/>
        <w:color w:val="5F8F3C" w:themeColor="accent6" w:themeTint="98" w:themeShade="95"/>
        <w:sz w:val="22"/>
      </w:rPr>
      <w:tcPr>
        <w:shd w:val="clear" w:color="auto" w:fill="FFFFFF" w:themeFill="accent6" w:themeFillTint="40"/>
      </w:tcPr>
    </w:tblStylePr>
    <w:tblStylePr w:type="band1Vert">
      <w:tcPr>
        <w:shd w:val="clear" w:color="auto" w:fill="FFFFFF" w:themeFill="accent6" w:themeFillTint="40"/>
      </w:tcPr>
    </w:tblStylePr>
    <w:tblStylePr w:type="band2Horz">
      <w:rPr>
        <w:rFonts w:ascii="Arial" w:hAnsi="Arial"/>
        <w:color w:val="5F8F3C" w:themeColor="accent6" w:themeTint="98" w:themeShade="95"/>
        <w:sz w:val="22"/>
      </w:rPr>
    </w:tblStylePr>
    <w:tblStylePr w:type="firstCol">
      <w:rPr>
        <w:rFonts w:ascii="Arial" w:hAnsi="Arial"/>
        <w:i/>
        <w:color w:val="5F8F3C" w:themeColor="accent6" w:themeTint="98" w:themeShade="95"/>
        <w:sz w:val="22"/>
      </w:rPr>
      <w:pPr>
        <w:jc w:val="right"/>
      </w:pPr>
      <w:tcPr>
        <w:shd w:color="auto" w:fill="FFFFFF"/>
        <w:tcBorders>
          <w:left w:val="none"/>
          <w:top w:val="none"/>
          <w:right w:val="single" w:color="000000" w:sz="4" w:space="0" w:themeColor="accent6" w:themeTint="98"/>
          <w:bottom w:val="none"/>
        </w:tcBorders>
      </w:tcPr>
    </w:tblStylePr>
    <w:tblStylePr w:type="firstRow">
      <w:rPr>
        <w:rFonts w:ascii="Arial" w:hAnsi="Arial"/>
        <w:i/>
        <w:color w:val="5F8F3C" w:themeColor="accent6" w:themeTint="98" w:themeShade="95"/>
        <w:sz w:val="22"/>
      </w:rPr>
      <w:tcPr>
        <w:shd w:val="clear" w:color="auto" w:fill="FFFFFF" w:themeFill="light1"/>
        <w:tcBorders>
          <w:left w:val="none"/>
          <w:top w:val="none"/>
          <w:right w:val="none"/>
          <w:bottom w:val="single" w:color="000000" w:sz="4" w:space="0" w:themeColor="accent6" w:themeTint="98"/>
        </w:tcBorders>
      </w:tcPr>
    </w:tblStylePr>
    <w:tblStylePr w:type="lastCol">
      <w:rPr>
        <w:rFonts w:ascii="Arial" w:hAnsi="Arial"/>
        <w:i/>
        <w:color w:val="5F8F3C" w:themeColor="accent6" w:themeTint="98" w:themeShade="95"/>
        <w:sz w:val="22"/>
      </w:rPr>
      <w:tcPr>
        <w:shd w:color="auto" w:fill="FFFFFF"/>
        <w:tcBorders>
          <w:left w:val="single" w:color="000000" w:sz="4" w:space="0" w:themeColor="accent6" w:themeTint="98"/>
          <w:top w:val="none"/>
          <w:right w:val="none"/>
          <w:bottom w:val="none"/>
        </w:tcBorders>
      </w:tcPr>
    </w:tblStylePr>
    <w:tblStylePr w:type="lastRow">
      <w:rPr>
        <w:rFonts w:ascii="Arial" w:hAnsi="Arial"/>
        <w:i/>
        <w:color w:val="5F8F3C" w:themeColor="accent6" w:themeTint="98" w:themeShade="95"/>
        <w:sz w:val="22"/>
      </w:rPr>
      <w:tcPr>
        <w:shd w:val="clear" w:color="auto" w:fill="FFFFFF" w:themeFill="light1"/>
        <w:tcBorders>
          <w:left w:val="none"/>
          <w:top w:val="single" w:color="000000" w:sz="4" w:space="0" w:themeColor="accent6" w:themeTint="98"/>
          <w:right w:val="none"/>
          <w:bottom w:val="none"/>
        </w:tcBorders>
      </w:tcPr>
    </w:tblStylePr>
    <w:tblStylePr w:type="wholeTable">
      <w:rPr>
        <w:rFonts w:ascii="Arial" w:hAnsi="Arial"/>
        <w:color w:val="5F8F3C" w:themeColor="accent6" w:themeTint="98" w:themeShade="95"/>
        <w:sz w:val="22"/>
      </w:rPr>
    </w:tblStylePr>
  </w:style>
  <w:style w:type="table" w:styleId="151">
    <w:name w:val="Lined - Accent"/>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2">
    <w:name w:val="Lined - Accent 1"/>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53">
    <w:name w:val="Lined - Accent 2"/>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54">
    <w:name w:val="Lined - Accent 3"/>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55">
    <w:name w:val="Lined - Accent 4"/>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56">
    <w:name w:val="Lined - Accent 5"/>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57">
    <w:name w:val="Lined - Accent 6"/>
    <w:basedOn w:val="397"/>
    <w:uiPriority w:val="99"/>
    <w:rPr>
      <w:color w:val="404040"/>
    </w:rPr>
    <w:pPr>
      <w:spacing w:lineRule="auto" w:line="240" w:after="0"/>
    </w:pPr>
    <w:tblPr>
      <w:tblStyleRowBandSize w:val="1"/>
      <w:tblStyleColBandSize w:val="1"/>
      <w:tblInd w:w="0" w:type="dxa"/>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58">
    <w:name w:val="Bordered &amp; Lined - Accent"/>
    <w:basedOn w:val="397"/>
    <w:uiPriority w:val="99"/>
    <w:rPr>
      <w:color w:val="404040"/>
    </w:rPr>
    <w:pPr>
      <w:spacing w:lineRule="auto" w:line="240" w:after="0"/>
    </w:pPr>
    <w:tblPr>
      <w:tblStyleRowBandSize w:val="1"/>
      <w:tblStyleColBandSize w:val="1"/>
      <w:tblInd w:w="0" w:type="dxa"/>
      <w:tblBorders>
        <w:left w:val="single" w:color="000000" w:sz="4" w:space="0" w:themeColor="text1" w:themeTint="A6"/>
        <w:top w:val="single" w:color="000000" w:sz="4" w:space="0" w:themeColor="text1" w:themeTint="A6"/>
        <w:right w:val="single" w:color="000000" w:sz="4" w:space="0" w:themeColor="text1" w:themeTint="A6"/>
        <w:bottom w:val="single" w:color="000000" w:sz="4" w:space="0" w:themeColor="text1" w:themeTint="A6"/>
        <w:insideV w:val="single" w:color="000000" w:sz="4" w:space="0" w:themeColor="text1" w:themeTint="A6"/>
        <w:insideH w:val="single" w:color="000000" w:sz="4" w:space="0" w:themeColor="text1" w:themeTint="A6"/>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text1" w:themeFillTint="0D"/>
      </w:tcPr>
    </w:tblStylePr>
    <w:tblStylePr w:type="band2Vert">
      <w:rPr>
        <w:rFonts w:ascii="Arial" w:hAnsi="Arial"/>
        <w:color w:val="404040"/>
        <w:sz w:val="22"/>
      </w:rPr>
      <w:tcPr>
        <w:shd w:val="clear" w:color="auto" w:fill="FFFFFF" w:themeFill="text1" w:themeFillTint="0D"/>
      </w:tcPr>
    </w:tblStylePr>
    <w:tblStylePr w:type="firstCol">
      <w:rPr>
        <w:rFonts w:ascii="Arial" w:hAnsi="Arial"/>
        <w:color w:val="F2F2F2"/>
        <w:sz w:val="22"/>
      </w:rPr>
      <w:tcPr>
        <w:shd w:val="clear" w:color="auto" w:fill="FFFFFF" w:themeFill="text1" w:themeFillTint="80"/>
      </w:tcPr>
    </w:tblStylePr>
    <w:tblStylePr w:type="firstRow">
      <w:rPr>
        <w:rFonts w:ascii="Arial" w:hAnsi="Arial"/>
        <w:color w:val="F2F2F2"/>
        <w:sz w:val="22"/>
      </w:rPr>
      <w:tcPr>
        <w:shd w:val="clear" w:color="auto" w:fill="FFFFFF" w:themeFill="text1" w:themeFillTint="80"/>
      </w:tcPr>
    </w:tblStylePr>
    <w:tblStylePr w:type="lastCol">
      <w:rPr>
        <w:rFonts w:ascii="Arial" w:hAnsi="Arial"/>
        <w:color w:val="F2F2F2"/>
        <w:sz w:val="22"/>
      </w:rPr>
      <w:tcPr>
        <w:shd w:val="clear" w:color="auto" w:fill="FFFFFF" w:themeFill="text1" w:themeFillTint="80"/>
      </w:tcPr>
    </w:tblStylePr>
    <w:tblStylePr w:type="lastRow">
      <w:rPr>
        <w:rFonts w:ascii="Arial" w:hAnsi="Arial"/>
        <w:color w:val="F2F2F2"/>
        <w:sz w:val="22"/>
      </w:rPr>
      <w:tcPr>
        <w:shd w:val="clear" w:color="auto" w:fill="FFFFFF" w:themeFill="text1" w:themeFillTint="80"/>
      </w:tcPr>
    </w:tblStylePr>
  </w:style>
  <w:style w:type="table" w:styleId="159">
    <w:name w:val="Bordered &amp; Lined - Accent 1"/>
    <w:basedOn w:val="397"/>
    <w:uiPriority w:val="99"/>
    <w:rPr>
      <w:color w:val="404040"/>
    </w:rPr>
    <w:pPr>
      <w:spacing w:lineRule="auto" w:line="240" w:after="0"/>
    </w:pPr>
    <w:tblPr>
      <w:tblStyleRowBandSize w:val="1"/>
      <w:tblStyleColBandSize w:val="1"/>
      <w:tblInd w:w="0" w:type="dxa"/>
      <w:tblBorders>
        <w:left w:val="single" w:color="000000" w:sz="4" w:space="0" w:themeColor="accent1" w:themeShade="95"/>
        <w:top w:val="single" w:color="000000" w:sz="4" w:space="0" w:themeColor="accent1" w:themeShade="95"/>
        <w:right w:val="single" w:color="000000" w:sz="4" w:space="0" w:themeColor="accent1" w:themeShade="95"/>
        <w:bottom w:val="single" w:color="000000" w:sz="4" w:space="0" w:themeColor="accent1" w:themeShade="95"/>
        <w:insideV w:val="single" w:color="000000" w:sz="4" w:space="0" w:themeColor="accent1" w:themeShade="95"/>
        <w:insideH w:val="single" w:color="000000" w:sz="4" w:space="0" w:themeColor="accent1"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1" w:themeFillTint="50"/>
      </w:tcPr>
    </w:tblStylePr>
    <w:tblStylePr w:type="band2Vert">
      <w:rPr>
        <w:rFonts w:ascii="Arial" w:hAnsi="Arial"/>
        <w:color w:val="404040"/>
        <w:sz w:val="22"/>
      </w:rPr>
      <w:tcPr>
        <w:shd w:val="clear" w:color="auto" w:fill="FFFFFF" w:themeFill="accent1" w:themeFillTint="50"/>
      </w:tcPr>
    </w:tblStylePr>
    <w:tblStylePr w:type="firstCol">
      <w:rPr>
        <w:rFonts w:ascii="Arial" w:hAnsi="Arial"/>
        <w:color w:val="F2F2F2"/>
        <w:sz w:val="22"/>
      </w:rPr>
      <w:tcPr>
        <w:shd w:val="clear" w:color="auto" w:fill="FFFFFF" w:themeFill="accent1" w:themeFillTint="EA"/>
      </w:tcPr>
    </w:tblStylePr>
    <w:tblStylePr w:type="firstRow">
      <w:rPr>
        <w:rFonts w:ascii="Arial" w:hAnsi="Arial"/>
        <w:color w:val="F2F2F2"/>
        <w:sz w:val="22"/>
      </w:rPr>
      <w:tcPr>
        <w:shd w:val="clear" w:color="auto" w:fill="FFFFFF" w:themeFill="accent1" w:themeFillTint="EA"/>
      </w:tcPr>
    </w:tblStylePr>
    <w:tblStylePr w:type="lastCol">
      <w:rPr>
        <w:rFonts w:ascii="Arial" w:hAnsi="Arial"/>
        <w:color w:val="F2F2F2"/>
        <w:sz w:val="22"/>
      </w:rPr>
      <w:tcPr>
        <w:shd w:val="clear" w:color="auto" w:fill="FFFFFF" w:themeFill="accent1" w:themeFillTint="EA"/>
      </w:tcPr>
    </w:tblStylePr>
    <w:tblStylePr w:type="lastRow">
      <w:rPr>
        <w:rFonts w:ascii="Arial" w:hAnsi="Arial"/>
        <w:color w:val="F2F2F2"/>
        <w:sz w:val="22"/>
      </w:rPr>
      <w:tcPr>
        <w:shd w:val="clear" w:color="auto" w:fill="FFFFFF" w:themeFill="accent1" w:themeFillTint="EA"/>
      </w:tcPr>
    </w:tblStylePr>
  </w:style>
  <w:style w:type="table" w:styleId="160">
    <w:name w:val="Bordered &amp; Lined - Accent 2"/>
    <w:basedOn w:val="397"/>
    <w:uiPriority w:val="99"/>
    <w:rPr>
      <w:color w:val="404040"/>
    </w:rPr>
    <w:pPr>
      <w:spacing w:lineRule="auto" w:line="240" w:after="0"/>
    </w:pPr>
    <w:tblPr>
      <w:tblStyleRowBandSize w:val="1"/>
      <w:tblStyleColBandSize w:val="1"/>
      <w:tblInd w:w="0" w:type="dxa"/>
      <w:tblBorders>
        <w:left w:val="single" w:color="000000" w:sz="4" w:space="0" w:themeColor="accent2" w:themeShade="95"/>
        <w:top w:val="single" w:color="000000" w:sz="4" w:space="0" w:themeColor="accent2" w:themeShade="95"/>
        <w:right w:val="single" w:color="000000" w:sz="4" w:space="0" w:themeColor="accent2" w:themeShade="95"/>
        <w:bottom w:val="single" w:color="000000" w:sz="4" w:space="0" w:themeColor="accent2" w:themeShade="95"/>
        <w:insideV w:val="single" w:color="000000" w:sz="4" w:space="0" w:themeColor="accent2" w:themeShade="95"/>
        <w:insideH w:val="single" w:color="000000" w:sz="4" w:space="0" w:themeColor="accent2"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2" w:themeFillTint="32"/>
      </w:tcPr>
    </w:tblStylePr>
    <w:tblStylePr w:type="band2Vert">
      <w:rPr>
        <w:rFonts w:ascii="Arial" w:hAnsi="Arial"/>
        <w:color w:val="404040"/>
        <w:sz w:val="22"/>
      </w:rPr>
      <w:tcPr>
        <w:shd w:val="clear" w:color="auto" w:fill="FFFFFF" w:themeFill="accent2" w:themeFillTint="32"/>
      </w:tcPr>
    </w:tblStylePr>
    <w:tblStylePr w:type="firstCol">
      <w:rPr>
        <w:rFonts w:ascii="Arial" w:hAnsi="Arial"/>
        <w:color w:val="F2F2F2"/>
        <w:sz w:val="22"/>
      </w:rPr>
      <w:tcPr>
        <w:shd w:val="clear" w:color="auto" w:fill="FFFFFF" w:themeFill="accent2" w:themeFillTint="97"/>
      </w:tcPr>
    </w:tblStylePr>
    <w:tblStylePr w:type="firstRow">
      <w:rPr>
        <w:rFonts w:ascii="Arial" w:hAnsi="Arial"/>
        <w:color w:val="F2F2F2"/>
        <w:sz w:val="22"/>
      </w:rPr>
      <w:tcPr>
        <w:shd w:val="clear" w:color="auto" w:fill="FFFFFF" w:themeFill="accent2" w:themeFillTint="97"/>
      </w:tcPr>
    </w:tblStylePr>
    <w:tblStylePr w:type="lastCol">
      <w:rPr>
        <w:rFonts w:ascii="Arial" w:hAnsi="Arial"/>
        <w:color w:val="F2F2F2"/>
        <w:sz w:val="22"/>
      </w:rPr>
      <w:tcPr>
        <w:shd w:val="clear" w:color="auto" w:fill="FFFFFF" w:themeFill="accent2" w:themeFillTint="97"/>
      </w:tcPr>
    </w:tblStylePr>
    <w:tblStylePr w:type="lastRow">
      <w:rPr>
        <w:rFonts w:ascii="Arial" w:hAnsi="Arial"/>
        <w:color w:val="F2F2F2"/>
        <w:sz w:val="22"/>
      </w:rPr>
      <w:tcPr>
        <w:shd w:val="clear" w:color="auto" w:fill="FFFFFF" w:themeFill="accent2" w:themeFillTint="97"/>
      </w:tcPr>
    </w:tblStylePr>
  </w:style>
  <w:style w:type="table" w:styleId="161">
    <w:name w:val="Bordered &amp; Lined - Accent 3"/>
    <w:basedOn w:val="397"/>
    <w:uiPriority w:val="99"/>
    <w:rPr>
      <w:color w:val="404040"/>
    </w:rPr>
    <w:pPr>
      <w:spacing w:lineRule="auto" w:line="240" w:after="0"/>
    </w:pPr>
    <w:tblPr>
      <w:tblStyleRowBandSize w:val="1"/>
      <w:tblStyleColBandSize w:val="1"/>
      <w:tblInd w:w="0" w:type="dxa"/>
      <w:tblBorders>
        <w:left w:val="single" w:color="000000" w:sz="4" w:space="0" w:themeColor="accent3" w:themeShade="95"/>
        <w:top w:val="single" w:color="000000" w:sz="4" w:space="0" w:themeColor="accent3" w:themeShade="95"/>
        <w:right w:val="single" w:color="000000" w:sz="4" w:space="0" w:themeColor="accent3" w:themeShade="95"/>
        <w:bottom w:val="single" w:color="000000" w:sz="4" w:space="0" w:themeColor="accent3" w:themeShade="95"/>
        <w:insideV w:val="single" w:color="000000" w:sz="4" w:space="0" w:themeColor="accent3" w:themeShade="95"/>
        <w:insideH w:val="single" w:color="000000" w:sz="4" w:space="0" w:themeColor="accent3"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3" w:themeFillTint="34"/>
      </w:tcPr>
    </w:tblStylePr>
    <w:tblStylePr w:type="band2Vert">
      <w:rPr>
        <w:rFonts w:ascii="Arial" w:hAnsi="Arial"/>
        <w:color w:val="404040"/>
        <w:sz w:val="22"/>
      </w:rPr>
      <w:tcPr>
        <w:shd w:val="clear" w:color="auto" w:fill="FFFFFF" w:themeFill="accent3" w:themeFillTint="34"/>
      </w:tcPr>
    </w:tblStylePr>
    <w:tblStylePr w:type="firstCol">
      <w:rPr>
        <w:rFonts w:ascii="Arial" w:hAnsi="Arial"/>
        <w:color w:val="F2F2F2"/>
        <w:sz w:val="22"/>
      </w:rPr>
      <w:tcPr>
        <w:shd w:val="clear" w:color="auto" w:fill="FFFFFF" w:themeFill="accent3" w:themeFillTint="FE"/>
      </w:tcPr>
    </w:tblStylePr>
    <w:tblStylePr w:type="firstRow">
      <w:rPr>
        <w:rFonts w:ascii="Arial" w:hAnsi="Arial"/>
        <w:color w:val="F2F2F2"/>
        <w:sz w:val="22"/>
      </w:rPr>
      <w:tcPr>
        <w:shd w:val="clear" w:color="auto" w:fill="FFFFFF" w:themeFill="accent3" w:themeFillTint="FE"/>
      </w:tcPr>
    </w:tblStylePr>
    <w:tblStylePr w:type="lastCol">
      <w:rPr>
        <w:rFonts w:ascii="Arial" w:hAnsi="Arial"/>
        <w:color w:val="F2F2F2"/>
        <w:sz w:val="22"/>
      </w:rPr>
      <w:tcPr>
        <w:shd w:val="clear" w:color="auto" w:fill="FFFFFF" w:themeFill="accent3" w:themeFillTint="FE"/>
      </w:tcPr>
    </w:tblStylePr>
    <w:tblStylePr w:type="lastRow">
      <w:rPr>
        <w:rFonts w:ascii="Arial" w:hAnsi="Arial"/>
        <w:color w:val="F2F2F2"/>
        <w:sz w:val="22"/>
      </w:rPr>
      <w:tcPr>
        <w:shd w:val="clear" w:color="auto" w:fill="FFFFFF" w:themeFill="accent3" w:themeFillTint="FE"/>
      </w:tcPr>
    </w:tblStylePr>
  </w:style>
  <w:style w:type="table" w:styleId="162">
    <w:name w:val="Bordered &amp; Lined - Accent 4"/>
    <w:basedOn w:val="397"/>
    <w:uiPriority w:val="99"/>
    <w:rPr>
      <w:color w:val="404040"/>
    </w:rPr>
    <w:pPr>
      <w:spacing w:lineRule="auto" w:line="240" w:after="0"/>
    </w:pPr>
    <w:tblPr>
      <w:tblStyleRowBandSize w:val="1"/>
      <w:tblStyleColBandSize w:val="1"/>
      <w:tblInd w:w="0" w:type="dxa"/>
      <w:tblBorders>
        <w:left w:val="single" w:color="000000" w:sz="4" w:space="0" w:themeColor="accent4" w:themeShade="95"/>
        <w:top w:val="single" w:color="000000" w:sz="4" w:space="0" w:themeColor="accent4" w:themeShade="95"/>
        <w:right w:val="single" w:color="000000" w:sz="4" w:space="0" w:themeColor="accent4" w:themeShade="95"/>
        <w:bottom w:val="single" w:color="000000" w:sz="4" w:space="0" w:themeColor="accent4" w:themeShade="95"/>
        <w:insideV w:val="single" w:color="000000" w:sz="4" w:space="0" w:themeColor="accent4" w:themeShade="95"/>
        <w:insideH w:val="single" w:color="000000" w:sz="4" w:space="0" w:themeColor="accent4"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4" w:themeFillTint="34"/>
      </w:tcPr>
    </w:tblStylePr>
    <w:tblStylePr w:type="band2Vert">
      <w:rPr>
        <w:rFonts w:ascii="Arial" w:hAnsi="Arial"/>
        <w:color w:val="404040"/>
        <w:sz w:val="22"/>
      </w:rPr>
      <w:tcPr>
        <w:shd w:val="clear" w:color="auto" w:fill="FFFFFF" w:themeFill="accent4" w:themeFillTint="34"/>
      </w:tcPr>
    </w:tblStylePr>
    <w:tblStylePr w:type="firstCol">
      <w:rPr>
        <w:rFonts w:ascii="Arial" w:hAnsi="Arial"/>
        <w:color w:val="F2F2F2"/>
        <w:sz w:val="22"/>
      </w:rPr>
      <w:tcPr>
        <w:shd w:val="clear" w:color="auto" w:fill="FFFFFF" w:themeFill="accent4" w:themeFillTint="9A"/>
      </w:tcPr>
    </w:tblStylePr>
    <w:tblStylePr w:type="firstRow">
      <w:rPr>
        <w:rFonts w:ascii="Arial" w:hAnsi="Arial"/>
        <w:color w:val="F2F2F2"/>
        <w:sz w:val="22"/>
      </w:rPr>
      <w:tcPr>
        <w:shd w:val="clear" w:color="auto" w:fill="FFFFFF" w:themeFill="accent4" w:themeFillTint="9A"/>
      </w:tcPr>
    </w:tblStylePr>
    <w:tblStylePr w:type="lastCol">
      <w:rPr>
        <w:rFonts w:ascii="Arial" w:hAnsi="Arial"/>
        <w:color w:val="F2F2F2"/>
        <w:sz w:val="22"/>
      </w:rPr>
      <w:tcPr>
        <w:shd w:val="clear" w:color="auto" w:fill="FFFFFF" w:themeFill="accent4" w:themeFillTint="9A"/>
      </w:tcPr>
    </w:tblStylePr>
    <w:tblStylePr w:type="lastRow">
      <w:rPr>
        <w:rFonts w:ascii="Arial" w:hAnsi="Arial"/>
        <w:color w:val="F2F2F2"/>
        <w:sz w:val="22"/>
      </w:rPr>
      <w:tcPr>
        <w:shd w:val="clear" w:color="auto" w:fill="FFFFFF" w:themeFill="accent4" w:themeFillTint="9A"/>
      </w:tcPr>
    </w:tblStylePr>
  </w:style>
  <w:style w:type="table" w:styleId="163">
    <w:name w:val="Bordered &amp; Lined - Accent 5"/>
    <w:basedOn w:val="397"/>
    <w:uiPriority w:val="99"/>
    <w:rPr>
      <w:color w:val="404040"/>
    </w:rPr>
    <w:pPr>
      <w:spacing w:lineRule="auto" w:line="240" w:after="0"/>
    </w:pPr>
    <w:tblPr>
      <w:tblStyleRowBandSize w:val="1"/>
      <w:tblStyleColBandSize w:val="1"/>
      <w:tblInd w:w="0" w:type="dxa"/>
      <w:tblBorders>
        <w:left w:val="single" w:color="000000" w:sz="4" w:space="0" w:themeColor="accent5" w:themeShade="95"/>
        <w:top w:val="single" w:color="000000" w:sz="4" w:space="0" w:themeColor="accent5" w:themeShade="95"/>
        <w:right w:val="single" w:color="000000" w:sz="4" w:space="0" w:themeColor="accent5" w:themeShade="95"/>
        <w:bottom w:val="single" w:color="000000" w:sz="4" w:space="0" w:themeColor="accent5" w:themeShade="95"/>
        <w:insideV w:val="single" w:color="000000" w:sz="4" w:space="0" w:themeColor="accent5" w:themeShade="95"/>
        <w:insideH w:val="single" w:color="000000" w:sz="4" w:space="0" w:themeColor="accent5"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5" w:themeFillTint="34"/>
      </w:tcPr>
    </w:tblStylePr>
    <w:tblStylePr w:type="band2Vert">
      <w:rPr>
        <w:rFonts w:ascii="Arial" w:hAnsi="Arial"/>
        <w:color w:val="404040"/>
        <w:sz w:val="22"/>
      </w:rPr>
      <w:tcPr>
        <w:shd w:val="clear" w:color="auto" w:fill="FFFFFF" w:themeFill="accent5" w:themeFillTint="34"/>
      </w:tcPr>
    </w:tblStylePr>
    <w:tblStylePr w:type="firstCol">
      <w:rPr>
        <w:rFonts w:ascii="Arial" w:hAnsi="Arial"/>
        <w:color w:val="F2F2F2"/>
        <w:sz w:val="22"/>
      </w:rPr>
      <w:tcPr>
        <w:shd w:val="clear" w:color="auto" w:fill="FFFFFF" w:themeFill="accent5"/>
      </w:tcPr>
    </w:tblStylePr>
    <w:tblStylePr w:type="firstRow">
      <w:rPr>
        <w:rFonts w:ascii="Arial" w:hAnsi="Arial"/>
        <w:color w:val="F2F2F2"/>
        <w:sz w:val="22"/>
      </w:rPr>
      <w:tcPr>
        <w:shd w:val="clear" w:color="auto" w:fill="FFFFFF" w:themeFill="accent5"/>
      </w:tcPr>
    </w:tblStylePr>
    <w:tblStylePr w:type="lastCol">
      <w:rPr>
        <w:rFonts w:ascii="Arial" w:hAnsi="Arial"/>
        <w:color w:val="F2F2F2"/>
        <w:sz w:val="22"/>
      </w:rPr>
      <w:tcPr>
        <w:shd w:val="clear" w:color="auto" w:fill="FFFFFF" w:themeFill="accent5"/>
      </w:tcPr>
    </w:tblStylePr>
    <w:tblStylePr w:type="lastRow">
      <w:rPr>
        <w:rFonts w:ascii="Arial" w:hAnsi="Arial"/>
        <w:color w:val="F2F2F2"/>
        <w:sz w:val="22"/>
      </w:rPr>
      <w:tcPr>
        <w:shd w:val="clear" w:color="auto" w:fill="FFFFFF" w:themeFill="accent5"/>
      </w:tcPr>
    </w:tblStylePr>
  </w:style>
  <w:style w:type="table" w:styleId="164">
    <w:name w:val="Bordered &amp; Lined - Accent 6"/>
    <w:basedOn w:val="397"/>
    <w:uiPriority w:val="99"/>
    <w:rPr>
      <w:color w:val="404040"/>
    </w:rPr>
    <w:pPr>
      <w:spacing w:lineRule="auto" w:line="240" w:after="0"/>
    </w:pPr>
    <w:tblPr>
      <w:tblStyleRowBandSize w:val="1"/>
      <w:tblStyleColBandSize w:val="1"/>
      <w:tblInd w:w="0" w:type="dxa"/>
      <w:tblBorders>
        <w:left w:val="single" w:color="000000" w:sz="4" w:space="0" w:themeColor="accent6" w:themeShade="95"/>
        <w:top w:val="single" w:color="000000" w:sz="4" w:space="0" w:themeColor="accent6" w:themeShade="95"/>
        <w:right w:val="single" w:color="000000" w:sz="4" w:space="0" w:themeColor="accent6" w:themeShade="95"/>
        <w:bottom w:val="single" w:color="000000" w:sz="4" w:space="0" w:themeColor="accent6" w:themeShade="95"/>
        <w:insideV w:val="single" w:color="000000" w:sz="4" w:space="0" w:themeColor="accent6" w:themeShade="95"/>
        <w:insideH w:val="single" w:color="000000" w:sz="4" w:space="0" w:themeColor="accent6" w:themeShade="95"/>
      </w:tblBorders>
    </w:tblPr>
    <w:tblStylePr w:type="band1Horz">
      <w:rPr>
        <w:rFonts w:ascii="Arial" w:hAnsi="Arial"/>
        <w:color w:val="404040"/>
        <w:sz w:val="22"/>
      </w:rPr>
    </w:tblStylePr>
    <w:tblStylePr w:type="band1Vert">
      <w:rPr>
        <w:rFonts w:ascii="Arial" w:hAnsi="Arial"/>
        <w:color w:val="404040"/>
        <w:sz w:val="22"/>
      </w:rPr>
    </w:tblStylePr>
    <w:tblStylePr w:type="band2Horz">
      <w:rPr>
        <w:rFonts w:ascii="Arial" w:hAnsi="Arial"/>
        <w:color w:val="404040"/>
        <w:sz w:val="22"/>
      </w:rPr>
      <w:tcPr>
        <w:shd w:val="clear" w:color="auto" w:fill="FFFFFF" w:themeFill="accent6" w:themeFillTint="34"/>
      </w:tcPr>
    </w:tblStylePr>
    <w:tblStylePr w:type="band2Vert">
      <w:rPr>
        <w:rFonts w:ascii="Arial" w:hAnsi="Arial"/>
        <w:color w:val="404040"/>
        <w:sz w:val="22"/>
      </w:rPr>
      <w:tcPr>
        <w:shd w:val="clear" w:color="auto" w:fill="FFFFFF" w:themeFill="accent6" w:themeFillTint="34"/>
      </w:tcPr>
    </w:tblStylePr>
    <w:tblStylePr w:type="firstCol">
      <w:rPr>
        <w:rFonts w:ascii="Arial" w:hAnsi="Arial"/>
        <w:color w:val="F2F2F2"/>
        <w:sz w:val="22"/>
      </w:rPr>
      <w:tcPr>
        <w:shd w:val="clear" w:color="auto" w:fill="FFFFFF" w:themeFill="accent6"/>
      </w:tcPr>
    </w:tblStylePr>
    <w:tblStylePr w:type="firstRow">
      <w:rPr>
        <w:rFonts w:ascii="Arial" w:hAnsi="Arial"/>
        <w:color w:val="F2F2F2"/>
        <w:sz w:val="22"/>
      </w:rPr>
      <w:tcPr>
        <w:shd w:val="clear" w:color="auto" w:fill="FFFFFF" w:themeFill="accent6"/>
      </w:tcPr>
    </w:tblStylePr>
    <w:tblStylePr w:type="lastCol">
      <w:rPr>
        <w:rFonts w:ascii="Arial" w:hAnsi="Arial"/>
        <w:color w:val="F2F2F2"/>
        <w:sz w:val="22"/>
      </w:rPr>
      <w:tcPr>
        <w:shd w:val="clear" w:color="auto" w:fill="FFFFFF" w:themeFill="accent6"/>
      </w:tcPr>
    </w:tblStylePr>
    <w:tblStylePr w:type="lastRow">
      <w:rPr>
        <w:rFonts w:ascii="Arial" w:hAnsi="Arial"/>
        <w:color w:val="F2F2F2"/>
        <w:sz w:val="22"/>
      </w:rPr>
      <w:tcPr>
        <w:shd w:val="clear" w:color="auto" w:fill="FFFFFF" w:themeFill="accent6"/>
      </w:tcPr>
    </w:tblStylePr>
  </w:style>
  <w:style w:type="table" w:styleId="165">
    <w:name w:val="Bordered"/>
    <w:basedOn w:val="397"/>
    <w:uiPriority w:val="99"/>
    <w:pPr>
      <w:spacing w:lineRule="auto" w:line="240" w:after="0"/>
    </w:pPr>
    <w:tblPr>
      <w:tblStyleRowBandSize w:val="1"/>
      <w:tblStyleColBandSize w:val="1"/>
      <w:tblInd w:w="0" w:type="dxa"/>
      <w:tbl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insideV w:val="single" w:color="000000" w:sz="4" w:space="0" w:themeColor="text1" w:themeTint="26"/>
        <w:insideH w:val="single" w:color="000000" w:sz="4" w:space="0" w:themeColor="text1" w:themeTint="26"/>
      </w:tblBorders>
    </w:tblPr>
    <w:tblStylePr w:type="band1Horz">
      <w:rPr>
        <w:rFonts w:ascii="Arial" w:hAnsi="Arial"/>
        <w:color w:val="404040"/>
        <w:sz w:val="22"/>
      </w:rPr>
      <w:tcPr>
        <w:tcBorders>
          <w:left w:val="single" w:color="000000" w:sz="4" w:space="0" w:themeColor="text1" w:themeTint="26"/>
          <w:top w:val="single" w:color="000000" w:sz="4" w:space="0" w:themeColor="text1" w:themeTint="26"/>
          <w:right w:val="single" w:color="000000" w:sz="4" w:space="0" w:themeColor="text1" w:themeTint="26"/>
          <w:bottom w:val="single" w:color="000000" w:sz="4" w:space="0" w:themeColor="text1" w:themeTint="26"/>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text1" w:themeTint="80"/>
        </w:tcBorders>
      </w:tcPr>
    </w:tblStylePr>
    <w:tblStylePr w:type="lastCol">
      <w:rPr>
        <w:rFonts w:ascii="Arial" w:hAnsi="Arial"/>
        <w:color w:val="404040"/>
        <w:sz w:val="22"/>
      </w:rPr>
      <w:tcPr>
        <w:tcBorders>
          <w:left w:val="single" w:color="000000" w:sz="12" w:space="0" w:themeColor="text1" w:themeTint="80"/>
        </w:tcBorders>
      </w:tcPr>
    </w:tblStylePr>
    <w:tblStylePr w:type="lastRow">
      <w:rPr>
        <w:rFonts w:ascii="Arial" w:hAnsi="Arial"/>
        <w:color w:val="404040"/>
        <w:sz w:val="22"/>
      </w:rPr>
      <w:tcPr>
        <w:tcBorders>
          <w:top w:val="single" w:color="000000" w:sz="12" w:space="0" w:themeColor="text1" w:themeTint="80"/>
        </w:tcBorders>
      </w:tcPr>
    </w:tblStylePr>
  </w:style>
  <w:style w:type="table" w:styleId="166">
    <w:name w:val="Bordered - Accent 1"/>
    <w:basedOn w:val="397"/>
    <w:uiPriority w:val="99"/>
    <w:pPr>
      <w:spacing w:lineRule="auto" w:line="240" w:after="0"/>
    </w:pPr>
    <w:tblPr>
      <w:tblStyleRowBandSize w:val="1"/>
      <w:tblStyleColBandSize w:val="1"/>
      <w:tblInd w:w="0" w:type="dxa"/>
      <w:tbl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insideV w:val="single" w:color="000000" w:sz="4" w:space="0" w:themeColor="accent1" w:themeTint="67"/>
        <w:insideH w:val="single" w:color="000000" w:sz="4" w:space="0" w:themeColor="accent1" w:themeTint="67"/>
      </w:tblBorders>
    </w:tblPr>
    <w:tblStylePr w:type="band1Horz">
      <w:rPr>
        <w:rFonts w:ascii="Arial" w:hAnsi="Arial"/>
        <w:color w:val="404040"/>
        <w:sz w:val="22"/>
      </w:rPr>
      <w:tcPr>
        <w:tcBorders>
          <w:left w:val="single" w:color="000000" w:sz="4" w:space="0" w:themeColor="accent1" w:themeTint="67"/>
          <w:top w:val="single" w:color="000000" w:sz="4" w:space="0" w:themeColor="accent1" w:themeTint="67"/>
          <w:right w:val="single" w:color="000000" w:sz="4" w:space="0" w:themeColor="accent1" w:themeTint="67"/>
          <w:bottom w:val="single" w:color="000000" w:sz="4" w:space="0" w:themeColor="accent1"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1"/>
        </w:tcBorders>
      </w:tcPr>
    </w:tblStylePr>
    <w:tblStylePr w:type="lastCol">
      <w:rPr>
        <w:rFonts w:ascii="Arial" w:hAnsi="Arial"/>
        <w:color w:val="404040"/>
        <w:sz w:val="22"/>
      </w:rPr>
      <w:tcPr>
        <w:tcBorders>
          <w:left w:val="single" w:color="000000" w:sz="12" w:space="0" w:themeColor="accent1"/>
        </w:tcBorders>
      </w:tcPr>
    </w:tblStylePr>
    <w:tblStylePr w:type="lastRow">
      <w:rPr>
        <w:rFonts w:ascii="Arial" w:hAnsi="Arial"/>
        <w:color w:val="404040"/>
        <w:sz w:val="22"/>
      </w:rPr>
      <w:tcPr>
        <w:tcBorders>
          <w:top w:val="single" w:color="000000" w:sz="12" w:space="0" w:themeColor="accent1"/>
        </w:tcBorders>
      </w:tcPr>
    </w:tblStylePr>
  </w:style>
  <w:style w:type="table" w:styleId="167">
    <w:name w:val="Bordered - Accent 2"/>
    <w:basedOn w:val="397"/>
    <w:uiPriority w:val="99"/>
    <w:pPr>
      <w:spacing w:lineRule="auto" w:line="240" w:after="0"/>
    </w:pPr>
    <w:tblPr>
      <w:tblStyleRowBandSize w:val="1"/>
      <w:tblStyleColBandSize w:val="1"/>
      <w:tblInd w:w="0" w:type="dxa"/>
      <w:tbl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insideV w:val="single" w:color="000000" w:sz="4" w:space="0" w:themeColor="accent2" w:themeTint="67"/>
        <w:insideH w:val="single" w:color="000000" w:sz="4" w:space="0" w:themeColor="accent2" w:themeTint="67"/>
      </w:tblBorders>
    </w:tblPr>
    <w:tblStylePr w:type="band1Horz">
      <w:rPr>
        <w:rFonts w:ascii="Arial" w:hAnsi="Arial"/>
        <w:color w:val="404040"/>
        <w:sz w:val="22"/>
      </w:rPr>
      <w:tcPr>
        <w:tcBorders>
          <w:left w:val="single" w:color="000000" w:sz="4" w:space="0" w:themeColor="accent2" w:themeTint="67"/>
          <w:top w:val="single" w:color="000000" w:sz="4" w:space="0" w:themeColor="accent2" w:themeTint="67"/>
          <w:right w:val="single" w:color="000000" w:sz="4" w:space="0" w:themeColor="accent2" w:themeTint="67"/>
          <w:bottom w:val="single" w:color="000000" w:sz="4" w:space="0" w:themeColor="accent2"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2" w:themeTint="97"/>
        </w:tcBorders>
      </w:tcPr>
    </w:tblStylePr>
    <w:tblStylePr w:type="lastCol">
      <w:rPr>
        <w:rFonts w:ascii="Arial" w:hAnsi="Arial"/>
        <w:color w:val="404040"/>
        <w:sz w:val="22"/>
      </w:rPr>
      <w:tcPr>
        <w:tcBorders>
          <w:left w:val="single" w:color="000000" w:sz="12" w:space="0" w:themeColor="accent2" w:themeTint="97"/>
        </w:tcBorders>
      </w:tcPr>
    </w:tblStylePr>
    <w:tblStylePr w:type="lastRow">
      <w:rPr>
        <w:rFonts w:ascii="Arial" w:hAnsi="Arial"/>
        <w:color w:val="404040"/>
        <w:sz w:val="22"/>
      </w:rPr>
      <w:tcPr>
        <w:tcBorders>
          <w:top w:val="single" w:color="000000" w:sz="12" w:space="0" w:themeColor="accent2" w:themeTint="97"/>
        </w:tcBorders>
      </w:tcPr>
    </w:tblStylePr>
  </w:style>
  <w:style w:type="table" w:styleId="168">
    <w:name w:val="Bordered - Accent 3"/>
    <w:basedOn w:val="397"/>
    <w:uiPriority w:val="99"/>
    <w:pPr>
      <w:spacing w:lineRule="auto" w:line="240" w:after="0"/>
    </w:pPr>
    <w:tblPr>
      <w:tblStyleRowBandSize w:val="1"/>
      <w:tblStyleColBandSize w:val="1"/>
      <w:tblInd w:w="0" w:type="dxa"/>
      <w:tbl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insideV w:val="single" w:color="000000" w:sz="4" w:space="0" w:themeColor="accent3" w:themeTint="67"/>
        <w:insideH w:val="single" w:color="000000" w:sz="4" w:space="0" w:themeColor="accent3" w:themeTint="67"/>
      </w:tblBorders>
    </w:tblPr>
    <w:tblStylePr w:type="band1Horz">
      <w:rPr>
        <w:rFonts w:ascii="Arial" w:hAnsi="Arial"/>
        <w:color w:val="404040"/>
        <w:sz w:val="22"/>
      </w:rPr>
      <w:tcPr>
        <w:tcBorders>
          <w:left w:val="single" w:color="000000" w:sz="4" w:space="0" w:themeColor="accent3" w:themeTint="67"/>
          <w:top w:val="single" w:color="000000" w:sz="4" w:space="0" w:themeColor="accent3" w:themeTint="67"/>
          <w:right w:val="single" w:color="000000" w:sz="4" w:space="0" w:themeColor="accent3" w:themeTint="67"/>
          <w:bottom w:val="single" w:color="000000" w:sz="4" w:space="0" w:themeColor="accent3"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3" w:themeTint="98"/>
        </w:tcBorders>
      </w:tcPr>
    </w:tblStylePr>
    <w:tblStylePr w:type="lastCol">
      <w:rPr>
        <w:rFonts w:ascii="Arial" w:hAnsi="Arial"/>
        <w:color w:val="404040"/>
        <w:sz w:val="22"/>
      </w:rPr>
      <w:tcPr>
        <w:tcBorders>
          <w:left w:val="single" w:color="000000" w:sz="12" w:space="0" w:themeColor="accent3" w:themeTint="98"/>
        </w:tcBorders>
      </w:tcPr>
    </w:tblStylePr>
    <w:tblStylePr w:type="lastRow">
      <w:rPr>
        <w:rFonts w:ascii="Arial" w:hAnsi="Arial"/>
        <w:color w:val="404040"/>
        <w:sz w:val="22"/>
      </w:rPr>
      <w:tcPr>
        <w:tcBorders>
          <w:top w:val="single" w:color="000000" w:sz="12" w:space="0" w:themeColor="accent3" w:themeTint="98"/>
        </w:tcBorders>
      </w:tcPr>
    </w:tblStylePr>
  </w:style>
  <w:style w:type="table" w:styleId="169">
    <w:name w:val="Bordered - Accent 4"/>
    <w:basedOn w:val="397"/>
    <w:uiPriority w:val="99"/>
    <w:pPr>
      <w:spacing w:lineRule="auto" w:line="240" w:after="0"/>
    </w:pPr>
    <w:tblPr>
      <w:tblStyleRowBandSize w:val="1"/>
      <w:tblStyleColBandSize w:val="1"/>
      <w:tblInd w:w="0" w:type="dxa"/>
      <w:tbl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insideV w:val="single" w:color="000000" w:sz="4" w:space="0" w:themeColor="accent4" w:themeTint="67"/>
        <w:insideH w:val="single" w:color="000000" w:sz="4" w:space="0" w:themeColor="accent4" w:themeTint="67"/>
      </w:tblBorders>
    </w:tblPr>
    <w:tblStylePr w:type="band1Horz">
      <w:rPr>
        <w:rFonts w:ascii="Arial" w:hAnsi="Arial"/>
        <w:color w:val="404040"/>
        <w:sz w:val="22"/>
      </w:rPr>
      <w:tcPr>
        <w:tcBorders>
          <w:left w:val="single" w:color="000000" w:sz="4" w:space="0" w:themeColor="accent4" w:themeTint="67"/>
          <w:top w:val="single" w:color="000000" w:sz="4" w:space="0" w:themeColor="accent4" w:themeTint="67"/>
          <w:right w:val="single" w:color="000000" w:sz="4" w:space="0" w:themeColor="accent4" w:themeTint="67"/>
          <w:bottom w:val="single" w:color="000000" w:sz="4" w:space="0" w:themeColor="accent4"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4" w:themeTint="9A"/>
        </w:tcBorders>
      </w:tcPr>
    </w:tblStylePr>
    <w:tblStylePr w:type="lastCol">
      <w:rPr>
        <w:rFonts w:ascii="Arial" w:hAnsi="Arial"/>
        <w:color w:val="404040"/>
        <w:sz w:val="22"/>
      </w:rPr>
      <w:tcPr>
        <w:tcBorders>
          <w:left w:val="single" w:color="000000" w:sz="12" w:space="0" w:themeColor="accent4" w:themeTint="9A"/>
        </w:tcBorders>
      </w:tcPr>
    </w:tblStylePr>
    <w:tblStylePr w:type="lastRow">
      <w:rPr>
        <w:rFonts w:ascii="Arial" w:hAnsi="Arial"/>
        <w:color w:val="404040"/>
        <w:sz w:val="22"/>
      </w:rPr>
      <w:tcPr>
        <w:tcBorders>
          <w:top w:val="single" w:color="000000" w:sz="12" w:space="0" w:themeColor="accent4" w:themeTint="9A"/>
        </w:tcBorders>
      </w:tcPr>
    </w:tblStylePr>
  </w:style>
  <w:style w:type="table" w:styleId="170">
    <w:name w:val="Bordered - Accent 5"/>
    <w:basedOn w:val="397"/>
    <w:uiPriority w:val="99"/>
    <w:pPr>
      <w:spacing w:lineRule="auto" w:line="240" w:after="0"/>
    </w:pPr>
    <w:tblPr>
      <w:tblStyleRowBandSize w:val="1"/>
      <w:tblStyleColBandSize w:val="1"/>
      <w:tblInd w:w="0" w:type="dxa"/>
      <w:tbl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insideV w:val="single" w:color="000000" w:sz="4" w:space="0" w:themeColor="accent5" w:themeTint="67"/>
        <w:insideH w:val="single" w:color="000000" w:sz="4" w:space="0" w:themeColor="accent5" w:themeTint="67"/>
      </w:tblBorders>
    </w:tblPr>
    <w:tblStylePr w:type="band1Horz">
      <w:rPr>
        <w:rFonts w:ascii="Arial" w:hAnsi="Arial"/>
        <w:color w:val="404040"/>
        <w:sz w:val="22"/>
      </w:rPr>
      <w:tcPr>
        <w:tcBorders>
          <w:left w:val="single" w:color="000000" w:sz="4" w:space="0" w:themeColor="accent5" w:themeTint="67"/>
          <w:top w:val="single" w:color="000000" w:sz="4" w:space="0" w:themeColor="accent5" w:themeTint="67"/>
          <w:right w:val="single" w:color="000000" w:sz="4" w:space="0" w:themeColor="accent5" w:themeTint="67"/>
          <w:bottom w:val="single" w:color="000000" w:sz="4" w:space="0" w:themeColor="accent5"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5" w:themeTint="9A"/>
        </w:tcBorders>
      </w:tcPr>
    </w:tblStylePr>
    <w:tblStylePr w:type="lastCol">
      <w:rPr>
        <w:rFonts w:ascii="Arial" w:hAnsi="Arial"/>
        <w:color w:val="404040"/>
        <w:sz w:val="22"/>
      </w:rPr>
      <w:tcPr>
        <w:tcBorders>
          <w:left w:val="single" w:color="000000" w:sz="12" w:space="0" w:themeColor="accent5" w:themeTint="9A"/>
        </w:tcBorders>
      </w:tcPr>
    </w:tblStylePr>
    <w:tblStylePr w:type="lastRow">
      <w:rPr>
        <w:rFonts w:ascii="Arial" w:hAnsi="Arial"/>
        <w:color w:val="404040"/>
        <w:sz w:val="22"/>
      </w:rPr>
      <w:tcPr>
        <w:tcBorders>
          <w:top w:val="single" w:color="000000" w:sz="12" w:space="0" w:themeColor="accent5" w:themeTint="9A"/>
        </w:tcBorders>
      </w:tcPr>
    </w:tblStylePr>
  </w:style>
  <w:style w:type="table" w:styleId="171">
    <w:name w:val="Bordered - Accent 6"/>
    <w:basedOn w:val="397"/>
    <w:uiPriority w:val="99"/>
    <w:pPr>
      <w:spacing w:lineRule="auto" w:line="240" w:after="0"/>
    </w:pPr>
    <w:tblPr>
      <w:tblStyleRowBandSize w:val="1"/>
      <w:tblStyleColBandSize w:val="1"/>
      <w:tblInd w:w="0" w:type="dxa"/>
      <w:tbl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insideV w:val="single" w:color="000000" w:sz="4" w:space="0" w:themeColor="accent6" w:themeTint="67"/>
        <w:insideH w:val="single" w:color="000000" w:sz="4" w:space="0" w:themeColor="accent6" w:themeTint="67"/>
      </w:tblBorders>
    </w:tblPr>
    <w:tblStylePr w:type="band1Horz">
      <w:rPr>
        <w:rFonts w:ascii="Arial" w:hAnsi="Arial"/>
        <w:color w:val="404040"/>
        <w:sz w:val="22"/>
      </w:rPr>
      <w:tcPr>
        <w:tcBorders>
          <w:left w:val="single" w:color="000000" w:sz="4" w:space="0" w:themeColor="accent6" w:themeTint="67"/>
          <w:top w:val="single" w:color="000000" w:sz="4" w:space="0" w:themeColor="accent6" w:themeTint="67"/>
          <w:right w:val="single" w:color="000000" w:sz="4" w:space="0" w:themeColor="accent6" w:themeTint="67"/>
          <w:bottom w:val="single" w:color="000000" w:sz="4" w:space="0" w:themeColor="accent6" w:themeTint="67"/>
        </w:tcBorders>
      </w:tcPr>
    </w:tblStylePr>
    <w:tblStylePr w:type="firstCol">
      <w:rPr>
        <w:rFonts w:ascii="Arial" w:hAnsi="Arial"/>
        <w:color w:val="404040"/>
        <w:sz w:val="22"/>
      </w:rPr>
    </w:tblStylePr>
    <w:tblStylePr w:type="firstRow">
      <w:rPr>
        <w:rFonts w:ascii="Arial" w:hAnsi="Arial"/>
        <w:color w:val="404040"/>
        <w:sz w:val="22"/>
      </w:rPr>
      <w:tcPr>
        <w:tcBorders>
          <w:bottom w:val="single" w:color="000000" w:sz="12" w:space="0" w:themeColor="accent6" w:themeTint="98"/>
        </w:tcBorders>
      </w:tcPr>
    </w:tblStylePr>
    <w:tblStylePr w:type="lastCol">
      <w:rPr>
        <w:rFonts w:ascii="Arial" w:hAnsi="Arial"/>
        <w:color w:val="404040"/>
        <w:sz w:val="22"/>
      </w:rPr>
      <w:tcPr>
        <w:tcBorders>
          <w:left w:val="single" w:color="000000" w:sz="12" w:space="0" w:themeColor="accent6" w:themeTint="98"/>
        </w:tcBorders>
      </w:tcPr>
    </w:tblStylePr>
    <w:tblStylePr w:type="lastRow">
      <w:rPr>
        <w:rFonts w:ascii="Arial" w:hAnsi="Arial"/>
        <w:color w:val="404040"/>
        <w:sz w:val="22"/>
      </w:rPr>
      <w:tcPr>
        <w:tcBorders>
          <w:top w:val="single" w:color="000000" w:sz="12" w:space="0" w:themeColor="accent6" w:themeTint="98"/>
        </w:tcBorders>
      </w:tcPr>
    </w:tblStylePr>
  </w:style>
  <w:style w:type="paragraph" w:styleId="173">
    <w:name w:val="footnote text"/>
    <w:basedOn w:val="394"/>
    <w:link w:val="174"/>
    <w:uiPriority w:val="99"/>
    <w:semiHidden/>
    <w:unhideWhenUsed/>
    <w:rPr>
      <w:sz w:val="18"/>
    </w:rPr>
    <w:pPr>
      <w:spacing w:lineRule="auto" w:line="240" w:after="40"/>
    </w:pPr>
  </w:style>
  <w:style w:type="character" w:styleId="174">
    <w:name w:val="Footnote Text Char"/>
    <w:link w:val="173"/>
    <w:uiPriority w:val="99"/>
    <w:rPr>
      <w:sz w:val="18"/>
    </w:rPr>
  </w:style>
  <w:style w:type="character" w:styleId="175">
    <w:name w:val="footnote reference"/>
    <w:basedOn w:val="396"/>
    <w:uiPriority w:val="99"/>
    <w:unhideWhenUsed/>
    <w:rPr>
      <w:vertAlign w:val="superscript"/>
    </w:rPr>
  </w:style>
  <w:style w:type="paragraph" w:styleId="176">
    <w:name w:val="toc 1"/>
    <w:basedOn w:val="394"/>
    <w:next w:val="394"/>
    <w:uiPriority w:val="39"/>
    <w:unhideWhenUsed/>
    <w:pPr>
      <w:ind w:left="0" w:right="0" w:firstLine="0"/>
      <w:spacing w:after="57"/>
    </w:pPr>
  </w:style>
  <w:style w:type="paragraph" w:styleId="177">
    <w:name w:val="toc 2"/>
    <w:basedOn w:val="394"/>
    <w:next w:val="394"/>
    <w:uiPriority w:val="39"/>
    <w:unhideWhenUsed/>
    <w:pPr>
      <w:ind w:left="283" w:right="0" w:firstLine="0"/>
      <w:spacing w:after="57"/>
    </w:pPr>
  </w:style>
  <w:style w:type="paragraph" w:styleId="178">
    <w:name w:val="toc 3"/>
    <w:basedOn w:val="394"/>
    <w:next w:val="394"/>
    <w:uiPriority w:val="39"/>
    <w:unhideWhenUsed/>
    <w:pPr>
      <w:ind w:left="567" w:right="0" w:firstLine="0"/>
      <w:spacing w:after="57"/>
    </w:pPr>
  </w:style>
  <w:style w:type="paragraph" w:styleId="179">
    <w:name w:val="toc 4"/>
    <w:basedOn w:val="394"/>
    <w:next w:val="394"/>
    <w:uiPriority w:val="39"/>
    <w:unhideWhenUsed/>
    <w:pPr>
      <w:ind w:left="850" w:right="0" w:firstLine="0"/>
      <w:spacing w:after="57"/>
    </w:pPr>
  </w:style>
  <w:style w:type="paragraph" w:styleId="180">
    <w:name w:val="toc 5"/>
    <w:basedOn w:val="394"/>
    <w:next w:val="394"/>
    <w:uiPriority w:val="39"/>
    <w:unhideWhenUsed/>
    <w:pPr>
      <w:ind w:left="1134" w:right="0" w:firstLine="0"/>
      <w:spacing w:after="57"/>
    </w:pPr>
  </w:style>
  <w:style w:type="paragraph" w:styleId="181">
    <w:name w:val="toc 6"/>
    <w:basedOn w:val="394"/>
    <w:next w:val="394"/>
    <w:uiPriority w:val="39"/>
    <w:unhideWhenUsed/>
    <w:pPr>
      <w:ind w:left="1417" w:right="0" w:firstLine="0"/>
      <w:spacing w:after="57"/>
    </w:pPr>
  </w:style>
  <w:style w:type="paragraph" w:styleId="182">
    <w:name w:val="toc 7"/>
    <w:basedOn w:val="394"/>
    <w:next w:val="394"/>
    <w:uiPriority w:val="39"/>
    <w:unhideWhenUsed/>
    <w:pPr>
      <w:ind w:left="1701" w:right="0" w:firstLine="0"/>
      <w:spacing w:after="57"/>
    </w:pPr>
  </w:style>
  <w:style w:type="paragraph" w:styleId="183">
    <w:name w:val="toc 8"/>
    <w:basedOn w:val="394"/>
    <w:next w:val="394"/>
    <w:uiPriority w:val="39"/>
    <w:unhideWhenUsed/>
    <w:pPr>
      <w:ind w:left="1984" w:right="0" w:firstLine="0"/>
      <w:spacing w:after="57"/>
    </w:pPr>
  </w:style>
  <w:style w:type="paragraph" w:styleId="184">
    <w:name w:val="toc 9"/>
    <w:basedOn w:val="394"/>
    <w:next w:val="394"/>
    <w:uiPriority w:val="39"/>
    <w:unhideWhenUsed/>
    <w:pPr>
      <w:ind w:left="2268" w:right="0" w:firstLine="0"/>
      <w:spacing w:after="57"/>
    </w:pPr>
  </w:style>
  <w:style w:type="paragraph" w:styleId="185">
    <w:name w:val="TOC Heading"/>
    <w:uiPriority w:val="39"/>
    <w:unhideWhenUsed/>
  </w:style>
  <w:style w:type="paragraph" w:styleId="394" w:default="1">
    <w:name w:val="Normal"/>
    <w:next w:val="395"/>
    <w:qFormat/>
    <w:rPr>
      <w:rFonts w:ascii="Calibri" w:hAnsi="Calibri" w:cs="Calibri" w:eastAsia="Calibri"/>
      <w:sz w:val="24"/>
      <w:szCs w:val="24"/>
    </w:rPr>
    <w:pPr>
      <w:jc w:val="both"/>
      <w:widowControl w:val="off"/>
    </w:pPr>
  </w:style>
  <w:style w:type="paragraph" w:styleId="395">
    <w:name w:val="Heading 1"/>
    <w:basedOn w:val="394"/>
    <w:next w:val="394"/>
    <w:link w:val="410"/>
    <w:qFormat/>
    <w:uiPriority w:val="9"/>
    <w:rPr>
      <w:rFonts w:ascii="Times New Roman" w:hAnsi="Times New Roman" w:cs="Times New Roman"/>
      <w:b/>
      <w:bCs/>
      <w:sz w:val="48"/>
      <w:szCs w:val="48"/>
    </w:rPr>
    <w:pPr>
      <w:jc w:val="left"/>
      <w:spacing w:after="100" w:afterAutospacing="1" w:before="100" w:beforeAutospacing="1"/>
      <w:widowControl/>
      <w:outlineLvl w:val="0"/>
    </w:pPr>
  </w:style>
  <w:style w:type="character" w:styleId="396" w:default="1">
    <w:name w:val="Default Paragraph Font"/>
    <w:uiPriority w:val="1"/>
    <w:semiHidden/>
    <w:unhideWhenUsed/>
  </w:style>
  <w:style w:type="table" w:styleId="397" w:default="1">
    <w:name w:val="Normal Table"/>
    <w:uiPriority w:val="99"/>
    <w:semiHidden/>
    <w:unhideWhenUsed/>
    <w:tblPr>
      <w:tblInd w:w="0" w:type="dxa"/>
      <w:tblCellMar>
        <w:left w:w="108" w:type="dxa"/>
        <w:top w:w="0" w:type="dxa"/>
        <w:right w:w="108" w:type="dxa"/>
        <w:bottom w:w="0" w:type="dxa"/>
      </w:tblCellMar>
    </w:tblPr>
  </w:style>
  <w:style w:type="numbering" w:styleId="398" w:default="1">
    <w:name w:val="No List"/>
    <w:uiPriority w:val="99"/>
    <w:semiHidden/>
    <w:unhideWhenUsed/>
  </w:style>
  <w:style w:type="paragraph" w:styleId="399">
    <w:name w:val="annotation text"/>
    <w:basedOn w:val="394"/>
    <w:link w:val="421"/>
    <w:qFormat/>
    <w:uiPriority w:val="99"/>
    <w:semiHidden/>
    <w:unhideWhenUsed/>
    <w:pPr>
      <w:jc w:val="left"/>
    </w:pPr>
  </w:style>
  <w:style w:type="paragraph" w:styleId="400">
    <w:name w:val="Body Text"/>
    <w:basedOn w:val="394"/>
    <w:link w:val="423"/>
    <w:qFormat/>
    <w:rPr>
      <w:rFonts w:ascii="Times New Roman" w:hAnsi="Times New Roman" w:cs="Times New Roman" w:eastAsia="宋体" w:hint="eastAsia"/>
      <w:sz w:val="28"/>
      <w:szCs w:val="20"/>
    </w:rPr>
  </w:style>
  <w:style w:type="paragraph" w:styleId="401">
    <w:name w:val="Balloon Text"/>
    <w:basedOn w:val="394"/>
    <w:link w:val="414"/>
    <w:qFormat/>
    <w:uiPriority w:val="99"/>
    <w:semiHidden/>
    <w:unhideWhenUsed/>
    <w:rPr>
      <w:sz w:val="18"/>
      <w:szCs w:val="18"/>
    </w:rPr>
  </w:style>
  <w:style w:type="paragraph" w:styleId="402">
    <w:name w:val="Footer"/>
    <w:basedOn w:val="394"/>
    <w:link w:val="413"/>
    <w:qFormat/>
    <w:uiPriority w:val="99"/>
    <w:unhideWhenUsed/>
    <w:rPr>
      <w:sz w:val="18"/>
      <w:szCs w:val="18"/>
    </w:rPr>
    <w:pPr>
      <w:jc w:val="left"/>
      <w:tabs>
        <w:tab w:val="center" w:pos="4153" w:leader="none"/>
        <w:tab w:val="right" w:pos="8306" w:leader="none"/>
      </w:tabs>
    </w:pPr>
  </w:style>
  <w:style w:type="paragraph" w:styleId="403">
    <w:name w:val="Header"/>
    <w:basedOn w:val="394"/>
    <w:link w:val="412"/>
    <w:qFormat/>
    <w:uiPriority w:val="99"/>
    <w:unhideWhenUsed/>
    <w:rPr>
      <w:sz w:val="18"/>
      <w:szCs w:val="18"/>
    </w:rPr>
    <w:pPr>
      <w:jc w:val="center"/>
      <w:tabs>
        <w:tab w:val="center" w:pos="4153" w:leader="none"/>
        <w:tab w:val="right" w:pos="8306" w:leader="none"/>
      </w:tabs>
      <w:pBdr>
        <w:bottom w:val="single" w:sz="6" w:space="1" w:color="auto"/>
      </w:pBdr>
    </w:pPr>
  </w:style>
  <w:style w:type="paragraph" w:styleId="404">
    <w:name w:val="Normal (Web)"/>
    <w:basedOn w:val="394"/>
    <w:qFormat/>
    <w:uiPriority w:val="99"/>
    <w:semiHidden/>
    <w:unhideWhenUsed/>
    <w:rPr>
      <w:rFonts w:ascii="宋体" w:hAnsi="宋体" w:cs="宋体" w:eastAsia="宋体"/>
    </w:rPr>
    <w:pPr>
      <w:jc w:val="left"/>
      <w:spacing w:after="100" w:afterAutospacing="1" w:before="100" w:beforeAutospacing="1"/>
      <w:widowControl/>
    </w:pPr>
  </w:style>
  <w:style w:type="paragraph" w:styleId="405">
    <w:name w:val="annotation subject"/>
    <w:basedOn w:val="399"/>
    <w:next w:val="399"/>
    <w:link w:val="422"/>
    <w:qFormat/>
    <w:uiPriority w:val="99"/>
    <w:semiHidden/>
    <w:unhideWhenUsed/>
    <w:rPr>
      <w:b/>
      <w:bCs/>
    </w:rPr>
  </w:style>
  <w:style w:type="table" w:styleId="406">
    <w:name w:val="Table Grid"/>
    <w:basedOn w:val="397"/>
    <w:qFormat/>
    <w:uiPriority w:val="59"/>
    <w:rPr>
      <w:sz w:val="21"/>
      <w:szCs w:val="22"/>
    </w:rPr>
    <w:tblPr>
      <w:tblBorders>
        <w:left w:val="single" w:color="000000" w:sz="4" w:space="0" w:themeColor="text1"/>
        <w:top w:val="single" w:color="000000" w:sz="4" w:space="0" w:themeColor="text1"/>
        <w:right w:val="single" w:color="000000" w:sz="4" w:space="0" w:themeColor="text1"/>
        <w:bottom w:val="single" w:color="000000" w:sz="4" w:space="0" w:themeColor="text1"/>
        <w:insideV w:val="single" w:color="000000" w:sz="4" w:space="0" w:themeColor="text1"/>
        <w:insideH w:val="single" w:color="000000" w:sz="4" w:space="0" w:themeColor="text1"/>
      </w:tblBorders>
    </w:tblPr>
  </w:style>
  <w:style w:type="character" w:styleId="407">
    <w:name w:val="Strong"/>
    <w:basedOn w:val="396"/>
    <w:qFormat/>
    <w:uiPriority w:val="22"/>
    <w:rPr>
      <w:b/>
      <w:bCs/>
    </w:rPr>
  </w:style>
  <w:style w:type="character" w:styleId="408">
    <w:name w:val="Hyperlink"/>
    <w:basedOn w:val="396"/>
    <w:qFormat/>
    <w:rPr>
      <w:color w:val="0000FF"/>
      <w:u w:val="single"/>
    </w:rPr>
  </w:style>
  <w:style w:type="character" w:styleId="409">
    <w:name w:val="annotation reference"/>
    <w:basedOn w:val="396"/>
    <w:qFormat/>
    <w:uiPriority w:val="99"/>
    <w:semiHidden/>
    <w:unhideWhenUsed/>
    <w:rPr>
      <w:sz w:val="21"/>
      <w:szCs w:val="21"/>
    </w:rPr>
  </w:style>
  <w:style w:type="character" w:styleId="410" w:customStyle="1">
    <w:name w:val="标题 1 字符"/>
    <w:basedOn w:val="396"/>
    <w:link w:val="395"/>
    <w:qFormat/>
    <w:uiPriority w:val="9"/>
    <w:rPr>
      <w:rFonts w:ascii="Times New Roman" w:hAnsi="Times New Roman" w:cs="Times New Roman"/>
      <w:b/>
      <w:bCs/>
      <w:sz w:val="48"/>
      <w:szCs w:val="48"/>
    </w:rPr>
  </w:style>
  <w:style w:type="paragraph" w:styleId="411" w:customStyle="1">
    <w:name w:val="custom_unionstyle"/>
    <w:basedOn w:val="394"/>
    <w:qFormat/>
    <w:rPr>
      <w:rFonts w:ascii="Times New Roman" w:hAnsi="Times New Roman" w:cs="Times New Roman"/>
    </w:rPr>
    <w:pPr>
      <w:jc w:val="left"/>
      <w:spacing w:after="100" w:afterAutospacing="1" w:before="100" w:beforeAutospacing="1"/>
      <w:widowControl/>
    </w:pPr>
  </w:style>
  <w:style w:type="character" w:styleId="412" w:customStyle="1">
    <w:name w:val="页眉 字符"/>
    <w:basedOn w:val="396"/>
    <w:link w:val="403"/>
    <w:qFormat/>
    <w:uiPriority w:val="99"/>
    <w:rPr>
      <w:sz w:val="18"/>
      <w:szCs w:val="18"/>
    </w:rPr>
  </w:style>
  <w:style w:type="character" w:styleId="413" w:customStyle="1">
    <w:name w:val="页脚 字符"/>
    <w:basedOn w:val="396"/>
    <w:link w:val="402"/>
    <w:qFormat/>
    <w:uiPriority w:val="99"/>
    <w:rPr>
      <w:sz w:val="18"/>
      <w:szCs w:val="18"/>
    </w:rPr>
  </w:style>
  <w:style w:type="character" w:styleId="414" w:customStyle="1">
    <w:name w:val="批注框文本 字符"/>
    <w:basedOn w:val="396"/>
    <w:link w:val="401"/>
    <w:qFormat/>
    <w:uiPriority w:val="99"/>
    <w:semiHidden/>
    <w:rPr>
      <w:sz w:val="18"/>
      <w:szCs w:val="18"/>
    </w:rPr>
  </w:style>
  <w:style w:type="paragraph" w:styleId="415" w:customStyle="1">
    <w:name w:val="Char Char Char Char Char Char Char"/>
    <w:basedOn w:val="394"/>
    <w:qFormat/>
    <w:rPr>
      <w:rFonts w:ascii="Times New Roman" w:hAnsi="Times New Roman" w:cs="Times New Roman" w:eastAsia="宋体"/>
      <w:sz w:val="21"/>
      <w:szCs w:val="20"/>
    </w:rPr>
    <w:pPr>
      <w:jc w:val="left"/>
      <w:spacing w:lineRule="exact" w:line="240" w:after="160"/>
      <w:widowControl/>
    </w:pPr>
  </w:style>
  <w:style w:type="paragraph" w:styleId="416" w:customStyle="1">
    <w:name w:val="Char Char Char Char Char Char Char1"/>
    <w:basedOn w:val="394"/>
    <w:qFormat/>
    <w:rPr>
      <w:rFonts w:ascii="Times New Roman" w:hAnsi="Times New Roman" w:cs="Times New Roman" w:eastAsia="宋体"/>
      <w:sz w:val="21"/>
      <w:szCs w:val="20"/>
    </w:rPr>
    <w:pPr>
      <w:jc w:val="left"/>
      <w:spacing w:lineRule="exact" w:line="240" w:after="160"/>
      <w:widowControl/>
    </w:pPr>
  </w:style>
  <w:style w:type="paragraph" w:styleId="417" w:customStyle="1">
    <w:name w:val="Char Char Char Char Char Char Char2"/>
    <w:basedOn w:val="394"/>
    <w:qFormat/>
    <w:rPr>
      <w:rFonts w:ascii="Times New Roman" w:hAnsi="Times New Roman" w:cs="Times New Roman" w:eastAsia="宋体"/>
      <w:sz w:val="21"/>
      <w:szCs w:val="20"/>
    </w:rPr>
    <w:pPr>
      <w:jc w:val="left"/>
      <w:spacing w:lineRule="exact" w:line="240" w:after="160"/>
      <w:widowControl/>
    </w:pPr>
  </w:style>
  <w:style w:type="paragraph" w:styleId="418" w:customStyle="1">
    <w:name w:val="vsbcontent_start"/>
    <w:basedOn w:val="394"/>
    <w:qFormat/>
    <w:rPr>
      <w:rFonts w:ascii="宋体" w:hAnsi="宋体" w:cs="宋体" w:eastAsia="宋体"/>
    </w:rPr>
    <w:pPr>
      <w:jc w:val="left"/>
      <w:spacing w:after="100" w:afterAutospacing="1" w:before="100" w:beforeAutospacing="1"/>
      <w:widowControl/>
    </w:pPr>
  </w:style>
  <w:style w:type="paragraph" w:styleId="419" w:customStyle="1">
    <w:name w:val="vsbcontent_end"/>
    <w:basedOn w:val="394"/>
    <w:qFormat/>
    <w:rPr>
      <w:rFonts w:ascii="宋体" w:hAnsi="宋体" w:cs="宋体" w:eastAsia="宋体"/>
    </w:rPr>
    <w:pPr>
      <w:jc w:val="left"/>
      <w:spacing w:after="100" w:afterAutospacing="1" w:before="100" w:beforeAutospacing="1"/>
      <w:widowControl/>
    </w:pPr>
  </w:style>
  <w:style w:type="paragraph" w:styleId="420" w:customStyle="1">
    <w:name w:val="vsbcontent_img"/>
    <w:basedOn w:val="394"/>
    <w:qFormat/>
    <w:rPr>
      <w:rFonts w:ascii="宋体" w:hAnsi="宋体" w:cs="宋体" w:eastAsia="宋体"/>
    </w:rPr>
    <w:pPr>
      <w:jc w:val="left"/>
      <w:spacing w:after="100" w:afterAutospacing="1" w:before="100" w:beforeAutospacing="1"/>
      <w:widowControl/>
    </w:pPr>
  </w:style>
  <w:style w:type="character" w:styleId="421" w:customStyle="1">
    <w:name w:val="批注文字 字符"/>
    <w:basedOn w:val="396"/>
    <w:link w:val="399"/>
    <w:qFormat/>
    <w:uiPriority w:val="99"/>
    <w:semiHidden/>
    <w:rPr>
      <w:rFonts w:ascii="Calibri" w:hAnsi="Calibri" w:cs="Calibri" w:eastAsia="Calibri"/>
      <w:sz w:val="24"/>
      <w:szCs w:val="24"/>
    </w:rPr>
  </w:style>
  <w:style w:type="character" w:styleId="422" w:customStyle="1">
    <w:name w:val="批注主题 字符"/>
    <w:basedOn w:val="421"/>
    <w:link w:val="405"/>
    <w:qFormat/>
    <w:uiPriority w:val="99"/>
    <w:semiHidden/>
    <w:rPr>
      <w:rFonts w:ascii="Calibri" w:hAnsi="Calibri" w:cs="Calibri" w:eastAsia="Calibri"/>
      <w:b/>
      <w:bCs/>
      <w:sz w:val="24"/>
      <w:szCs w:val="24"/>
    </w:rPr>
  </w:style>
  <w:style w:type="character" w:styleId="423" w:customStyle="1">
    <w:name w:val="正文文本 字符"/>
    <w:basedOn w:val="396"/>
    <w:link w:val="400"/>
    <w:qFormat/>
    <w:rPr>
      <w:sz w:val="28"/>
    </w:rPr>
  </w:style>
  <w:style w:type="character" w:styleId="424" w:customStyle="1">
    <w:name w:val="font41"/>
    <w:basedOn w:val="396"/>
    <w:qFormat/>
    <w:rPr>
      <w:rFonts w:ascii="宋体" w:hAnsi="宋体" w:cs="宋体" w:eastAsia="宋体" w:hint="eastAsia"/>
      <w:color w:val="000000"/>
      <w:sz w:val="20"/>
      <w:szCs w:val="20"/>
      <w:u w:val="none"/>
    </w:rPr>
  </w:style>
  <w:style w:type="character" w:styleId="425" w:customStyle="1">
    <w:name w:val="font11"/>
    <w:basedOn w:val="396"/>
    <w:qFormat/>
    <w:rPr>
      <w:rFonts w:ascii="Arial" w:hAnsi="Arial" w:cs="Arial" w:hint="default"/>
      <w:color w:val="000000"/>
      <w:sz w:val="20"/>
      <w:szCs w:val="20"/>
      <w:u w:val="none"/>
    </w:rPr>
  </w:style>
  <w:style w:type="character" w:styleId="426" w:customStyle="1">
    <w:name w:val="font01"/>
    <w:basedOn w:val="396"/>
    <w:qFormat/>
    <w:rPr>
      <w:rFonts w:ascii="宋体" w:hAnsi="宋体" w:cs="宋体" w:eastAsia="宋体" w:hint="eastAsia"/>
      <w:color w:val="000000"/>
      <w:sz w:val="22"/>
      <w:szCs w:val="22"/>
      <w:u w:val="none"/>
    </w:rPr>
  </w:style>
  <w:style w:type="character" w:styleId="427" w:customStyle="1">
    <w:name w:val="font51"/>
    <w:basedOn w:val="396"/>
    <w:qFormat/>
    <w:rPr>
      <w:rFonts w:ascii="宋体" w:hAnsi="宋体" w:cs="宋体" w:eastAsia="宋体" w:hint="eastAsia"/>
      <w:color w:val="000000"/>
      <w:sz w:val="22"/>
      <w:szCs w:val="22"/>
      <w:u w:val="none"/>
    </w:rPr>
  </w:style>
  <w:style w:type="character" w:styleId="428" w:customStyle="1">
    <w:name w:val="font61"/>
    <w:basedOn w:val="396"/>
    <w:qFormat/>
    <w:rPr>
      <w:rFonts w:ascii="Times New Roman" w:hAnsi="Times New Roman" w:cs="Times New Roman" w:hint="default"/>
      <w:color w:val="000000"/>
      <w:sz w:val="22"/>
      <w:szCs w:val="22"/>
      <w:u w:val="none"/>
    </w:rPr>
  </w:style>
  <w:style w:type="character" w:styleId="429" w:customStyle="1">
    <w:name w:val="font21"/>
    <w:basedOn w:val="396"/>
    <w:qFormat/>
    <w:rPr>
      <w:rFonts w:ascii="宋体" w:hAnsi="宋体" w:cs="宋体" w:eastAsia="宋体" w:hint="eastAsia"/>
      <w:color w:val="000000"/>
      <w:sz w:val="22"/>
      <w:szCs w:val="22"/>
      <w:u w:val="none"/>
    </w:rPr>
  </w:style>
  <w:style w:type="character" w:styleId="430" w:customStyle="1">
    <w:name w:val="font81"/>
    <w:basedOn w:val="396"/>
    <w:qFormat/>
    <w:rPr>
      <w:rFonts w:ascii="宋体" w:hAnsi="宋体" w:cs="宋体" w:eastAsia="宋体" w:hint="eastAsia"/>
      <w:color w:val="000000"/>
      <w:sz w:val="22"/>
      <w:szCs w:val="22"/>
      <w:u w:val="none"/>
    </w:rPr>
  </w:style>
</w:styles>
</file>

<file path=word/webSettings.xml><?xml version="1.0" encoding="utf-8"?>
<w:webSettings xmlns:w="http://schemas.openxmlformats.org/wordprocessingml/2006/main">
  <w:optimizeForBrowser/>
</w:webSetting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footer" Target="footer1.xml" /><Relationship Id="rId9" Type="http://schemas.openxmlformats.org/officeDocument/2006/relationships/footer" Target="footer2.xml" /><Relationship Id="rId10" Type="http://schemas.openxmlformats.org/officeDocument/2006/relationships/image" Target="media/image1.jpg"/><Relationship Id="rId11" Type="http://schemas.openxmlformats.org/officeDocument/2006/relationships/hyperlink" Target="http://yxsyzx.cqmu.edu.cn" TargetMode="External"/><Relationship Id="rId12" Type="http://schemas.openxmlformats.org/officeDocument/2006/relationships/image" Target="media/image2.jpg"/><Relationship Id="rId13" Type="http://schemas.openxmlformats.org/officeDocument/2006/relationships/image" Target="media/image3.jpg"/><Relationship Id="rId14" Type="http://schemas.openxmlformats.org/officeDocument/2006/relationships/image" Target="media/image4.jpg"/><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20" Type="http://schemas.openxmlformats.org/officeDocument/2006/relationships/image" Target="media/image10.png"/><Relationship Id="rId21" Type="http://schemas.openxmlformats.org/officeDocument/2006/relationships/image" Target="media/image11.jpg"/><Relationship Id="rId22" Type="http://schemas.openxmlformats.org/officeDocument/2006/relationships/image" Target="media/image12.jpg"/><Relationship Id="rId23" Type="http://schemas.openxmlformats.org/officeDocument/2006/relationships/image" Target="media/image13.jpg"/><Relationship Id="rId24" Type="http://schemas.openxmlformats.org/officeDocument/2006/relationships/image" Target="media/image14.jpg"/><Relationship Id="rId25" Type="http://schemas.openxmlformats.org/officeDocument/2006/relationships/hyperlink" Target="http://yxsyzx.cqmu.edu.cn" TargetMode="External"/><Relationship Id="rId26" Type="http://schemas.openxmlformats.org/officeDocument/2006/relationships/hyperlink" Target="https://www.cqmu.edu.cn/info/" TargetMode="External"/><Relationship Id="rId27" Type="http://schemas.openxmlformats.org/officeDocument/2006/relationships/image" Target="media/image15.jpg"/><Relationship Id="rId28" Type="http://schemas.openxmlformats.org/officeDocument/2006/relationships/image" Target="media/image16.png"/></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theme/theme1.xml><?xml version="1.0" encoding="utf-8"?>
<a:theme xmlns:a="http://schemas.openxmlformats.org/drawingml/2006/main" xmlns:r="http://schemas.openxmlformats.org/officeDocument/2006/relationships" xmlns:p="http://schemas.openxmlformats.org/presentation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Application>ONLYOFFICE/5.6.5.3</Application>
  <Company>微软中国</Company>
  <DocSecurity>0</DocSecurity>
  <HyperlinksChanged>false</HyperlinksChanged>
  <LinksUpToDate>false</LinksUpToDate>
  <ScaleCrop>false</ScaleCrop>
  <SharedDoc>false</SharedDoc>
  <Template>Normal</Template>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hao tong</dc:creator>
  <cp:lastModifiedBy>匿名</cp:lastModifiedBy>
  <cp:revision>76</cp:revision>
  <dcterms:created xsi:type="dcterms:W3CDTF">2020-01-10T00:41:00Z</dcterms:created>
  <dcterms:modified xsi:type="dcterms:W3CDTF">2023-07-06T06:24:21Z</dcterms:modified>
</cp:coreProperties>
</file>